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577" w:rsidRPr="00A50577" w:rsidRDefault="00A50577" w:rsidP="00A50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577" w:rsidRPr="00A50577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 (ЗАПРОС НА ПРОЕКТ</w:t>
      </w: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1"/>
      </w: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50577" w:rsidRPr="00A50577" w:rsidRDefault="00A50577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72CBA" w:rsidRPr="00472C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контрольно-измерительных приборов</w:t>
      </w:r>
      <w:r w:rsidRPr="00A50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50577" w:rsidRPr="00A50577" w:rsidRDefault="00472CBA" w:rsidP="00A5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Новый проект</w:t>
      </w:r>
      <w:r w:rsidR="00687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15.</w:t>
      </w:r>
      <w:bookmarkStart w:id="0" w:name="_GoBack"/>
      <w:bookmarkEnd w:id="0"/>
      <w:r w:rsidR="00687D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01.0414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ИПКВ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вложения средств</w:t>
      </w:r>
    </w:p>
    <w:p w:rsidR="00A50577" w:rsidRPr="00A50577" w:rsidRDefault="009C7A03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контрольно-измерительных приборов</w:t>
      </w:r>
      <w:r w:rsidR="00EE1A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7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вольтамперфазометров «ПАРМА-ВАФ-А(С),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работы</w:t>
      </w:r>
      <w:r w:rsidR="00E6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</w:t>
      </w:r>
      <w:r w:rsidR="00472CBA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персоналом АО «Петербургская сбытовая компания»</w:t>
      </w:r>
      <w:r w:rsidR="00A50577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Предпосылки/ необходимость реализации ИПКВ</w:t>
      </w:r>
    </w:p>
    <w:p w:rsidR="00615F51" w:rsidRDefault="009C7A03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контрольно-измерительных приборов</w:t>
      </w:r>
      <w:r w:rsidR="009E7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вольтамперфазометров «ПАРМА-ВАФ-А</w:t>
      </w:r>
      <w:r w:rsidR="00371E59">
        <w:rPr>
          <w:rFonts w:ascii="Times New Roman" w:eastAsia="Times New Roman" w:hAnsi="Times New Roman" w:cs="Times New Roman"/>
          <w:sz w:val="24"/>
          <w:szCs w:val="24"/>
          <w:lang w:eastAsia="ru-RU"/>
        </w:rPr>
        <w:t>(С)</w:t>
      </w:r>
      <w:r w:rsidR="009E7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2C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</w:t>
      </w:r>
      <w:r w:rsidR="009E7C2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7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проведения линейным</w:t>
      </w:r>
      <w:r w:rsidR="0061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персоналом работ по жалобам абонентов на работу приборов учета и обращениям потребителей</w:t>
      </w:r>
      <w:r w:rsidR="00235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договорам юридических лиц</w:t>
      </w:r>
      <w:r w:rsidR="0061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37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допуску</w:t>
      </w:r>
      <w:r w:rsidR="0047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 комплексов электрической энергии в эксплуатацию, в соответствии с требованиями Законодательства РФ</w:t>
      </w:r>
      <w:r w:rsidR="00EE1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5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производственной деятельности. </w:t>
      </w:r>
      <w:r w:rsidR="00615F51"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FD4" w:rsidRPr="009D5124" w:rsidRDefault="00371E59" w:rsidP="00371E59">
      <w:pPr>
        <w:spacing w:after="100" w:afterAutospacing="1" w:line="254" w:lineRule="auto"/>
        <w:ind w:firstLine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124">
        <w:rPr>
          <w:rFonts w:ascii="Times New Roman" w:eastAsia="Calibri" w:hAnsi="Times New Roman" w:cs="Times New Roman"/>
          <w:sz w:val="24"/>
          <w:szCs w:val="24"/>
        </w:rPr>
        <w:t>В рамках исполнения ФЗ 522</w:t>
      </w:r>
      <w:r w:rsidR="00DB0447" w:rsidRPr="009D5124">
        <w:rPr>
          <w:rFonts w:ascii="Times New Roman" w:eastAsia="Calibri" w:hAnsi="Times New Roman" w:cs="Times New Roman"/>
          <w:sz w:val="24"/>
          <w:szCs w:val="24"/>
        </w:rPr>
        <w:t xml:space="preserve"> продолжаются работы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по реализации проекта интеллектуальных систем учета (далее – ИСУ)</w:t>
      </w:r>
      <w:r w:rsidR="0080059E">
        <w:rPr>
          <w:rFonts w:ascii="Times New Roman" w:eastAsia="Calibri" w:hAnsi="Times New Roman" w:cs="Times New Roman"/>
          <w:sz w:val="24"/>
          <w:szCs w:val="24"/>
        </w:rPr>
        <w:t>,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увеличивается объем работы линейного персонала, в части допуска в эксплуатацию установленных приборов учета ИСУ на общедомовые приборы учета в многоквартирных домах</w:t>
      </w:r>
      <w:r w:rsidR="00EE1A8D" w:rsidRPr="009D5124">
        <w:rPr>
          <w:rFonts w:ascii="Times New Roman" w:eastAsia="Calibri" w:hAnsi="Times New Roman" w:cs="Times New Roman"/>
          <w:sz w:val="24"/>
          <w:szCs w:val="24"/>
        </w:rPr>
        <w:t>, с о</w:t>
      </w:r>
      <w:r w:rsidRPr="009D5124">
        <w:rPr>
          <w:rFonts w:ascii="Times New Roman" w:eastAsia="Calibri" w:hAnsi="Times New Roman" w:cs="Times New Roman"/>
          <w:sz w:val="24"/>
          <w:szCs w:val="24"/>
        </w:rPr>
        <w:t>дновременн</w:t>
      </w:r>
      <w:r w:rsidR="00EE1A8D" w:rsidRPr="009D5124">
        <w:rPr>
          <w:rFonts w:ascii="Times New Roman" w:eastAsia="Calibri" w:hAnsi="Times New Roman" w:cs="Times New Roman"/>
          <w:sz w:val="24"/>
          <w:szCs w:val="24"/>
        </w:rPr>
        <w:t>ым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0447" w:rsidRPr="009D5124">
        <w:rPr>
          <w:rFonts w:ascii="Times New Roman" w:eastAsia="Calibri" w:hAnsi="Times New Roman" w:cs="Times New Roman"/>
          <w:sz w:val="24"/>
          <w:szCs w:val="24"/>
        </w:rPr>
        <w:t>вывод</w:t>
      </w:r>
      <w:r w:rsidR="00EE1A8D" w:rsidRPr="009D5124">
        <w:rPr>
          <w:rFonts w:ascii="Times New Roman" w:eastAsia="Calibri" w:hAnsi="Times New Roman" w:cs="Times New Roman"/>
          <w:sz w:val="24"/>
          <w:szCs w:val="24"/>
        </w:rPr>
        <w:t>ом</w:t>
      </w:r>
      <w:r w:rsidR="00DB0447" w:rsidRPr="009D5124">
        <w:rPr>
          <w:rFonts w:ascii="Times New Roman" w:eastAsia="Calibri" w:hAnsi="Times New Roman" w:cs="Times New Roman"/>
          <w:sz w:val="24"/>
          <w:szCs w:val="24"/>
        </w:rPr>
        <w:t xml:space="preserve"> из эксплуатации приборов с истекшим сроком эксплуатации</w:t>
      </w:r>
      <w:r w:rsidR="00EE1A8D" w:rsidRPr="009D5124">
        <w:rPr>
          <w:rFonts w:ascii="Times New Roman" w:eastAsia="Calibri" w:hAnsi="Times New Roman" w:cs="Times New Roman"/>
          <w:sz w:val="24"/>
          <w:szCs w:val="24"/>
        </w:rPr>
        <w:t>.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Процедура допуска предусматривает 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 xml:space="preserve">проведение </w:t>
      </w:r>
      <w:r w:rsidRPr="009D5124">
        <w:rPr>
          <w:rFonts w:ascii="Times New Roman" w:eastAsia="Calibri" w:hAnsi="Times New Roman" w:cs="Times New Roman"/>
          <w:sz w:val="24"/>
          <w:szCs w:val="24"/>
        </w:rPr>
        <w:t>инструментальн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 xml:space="preserve">ой </w:t>
      </w:r>
      <w:r w:rsidRPr="009D5124">
        <w:rPr>
          <w:rFonts w:ascii="Times New Roman" w:eastAsia="Calibri" w:hAnsi="Times New Roman" w:cs="Times New Roman"/>
          <w:sz w:val="24"/>
          <w:szCs w:val="24"/>
        </w:rPr>
        <w:t>проверк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>и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6FD4" w:rsidRPr="009D51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 комплексов и систем учета электрической энергии (приборов учета и схем подключения)</w:t>
      </w:r>
      <w:r w:rsidRPr="009D5124">
        <w:rPr>
          <w:rFonts w:ascii="Times New Roman" w:eastAsia="Calibri" w:hAnsi="Times New Roman" w:cs="Times New Roman"/>
          <w:sz w:val="24"/>
          <w:szCs w:val="24"/>
        </w:rPr>
        <w:t>, с использованием указанных контрольно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- измерительных приборов. </w:t>
      </w:r>
    </w:p>
    <w:p w:rsidR="00A50577" w:rsidRPr="00A50577" w:rsidRDefault="0023523E" w:rsidP="007E69A5">
      <w:pPr>
        <w:spacing w:after="100" w:afterAutospacing="1" w:line="254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124">
        <w:rPr>
          <w:rFonts w:ascii="Times New Roman" w:eastAsia="Calibri" w:hAnsi="Times New Roman" w:cs="Times New Roman"/>
          <w:sz w:val="24"/>
          <w:szCs w:val="24"/>
        </w:rPr>
        <w:t>На основании изложенного выше,</w:t>
      </w:r>
      <w:r w:rsidR="00EE1A8D" w:rsidRPr="009D51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1E59" w:rsidRPr="009D5124">
        <w:rPr>
          <w:rFonts w:ascii="Times New Roman" w:eastAsia="Calibri" w:hAnsi="Times New Roman" w:cs="Times New Roman"/>
          <w:sz w:val="24"/>
          <w:szCs w:val="24"/>
        </w:rPr>
        <w:t>необходимо увеличить количество используем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>ых контрольно-измерительных приборов,</w:t>
      </w:r>
      <w:r w:rsidR="00371E59" w:rsidRPr="009D5124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1F4E94">
        <w:rPr>
          <w:rFonts w:ascii="Times New Roman" w:eastAsia="Calibri" w:hAnsi="Times New Roman" w:cs="Times New Roman"/>
          <w:sz w:val="24"/>
          <w:szCs w:val="24"/>
        </w:rPr>
        <w:t xml:space="preserve">обеспечения потребности линейного персонала, при проведении производственной деятельности и </w:t>
      </w:r>
      <w:r w:rsidR="00371E59" w:rsidRPr="009D5124">
        <w:rPr>
          <w:rFonts w:ascii="Times New Roman" w:eastAsia="Calibri" w:hAnsi="Times New Roman" w:cs="Times New Roman"/>
          <w:sz w:val="24"/>
          <w:szCs w:val="24"/>
        </w:rPr>
        <w:t>увеличения количества принимаемых объектов</w:t>
      </w:r>
      <w:r w:rsidRPr="009D5124">
        <w:rPr>
          <w:rFonts w:ascii="Times New Roman" w:eastAsia="Calibri" w:hAnsi="Times New Roman" w:cs="Times New Roman"/>
          <w:sz w:val="24"/>
          <w:szCs w:val="24"/>
        </w:rPr>
        <w:t xml:space="preserve"> (измерительных комплексов)</w:t>
      </w:r>
      <w:r w:rsidR="00B66FD4" w:rsidRPr="009D5124">
        <w:rPr>
          <w:rFonts w:ascii="Times New Roman" w:eastAsia="Calibri" w:hAnsi="Times New Roman" w:cs="Times New Roman"/>
          <w:sz w:val="24"/>
          <w:szCs w:val="24"/>
        </w:rPr>
        <w:t>.</w:t>
      </w:r>
      <w:r w:rsidR="0080059E" w:rsidRPr="008005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ИПКВ</w:t>
      </w:r>
    </w:p>
    <w:p w:rsidR="00A50577" w:rsidRPr="00A50577" w:rsidRDefault="00A53E48" w:rsidP="00A50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проекта по приобретению контрольно-измерительных приборов должна быть выполнена в срок, в рамках бюджета и с полным соответствием требованиям Заказчика</w:t>
      </w:r>
      <w:r w:rsidR="008F7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E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приобретения дополнительного количества контрольно-измерительных приборов является обеспечение возможности увеличения объема работ, выполняемых линейным персоналом, а также исполнение требований законодательства РФ, при проведении производственной деятельности. 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эффекты ИПКВ</w:t>
      </w:r>
    </w:p>
    <w:p w:rsidR="00661FF0" w:rsidRPr="00A169D8" w:rsidRDefault="00661FF0" w:rsidP="0040209B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9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A169D8" w:rsidRPr="00A169D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169D8">
        <w:rPr>
          <w:rFonts w:ascii="Times New Roman" w:eastAsia="Times New Roman" w:hAnsi="Times New Roman" w:cs="Times New Roman"/>
          <w:sz w:val="24"/>
          <w:szCs w:val="24"/>
          <w:lang w:eastAsia="ru-RU"/>
        </w:rPr>
        <w:t>ышение качества обслуживания клиентов,</w:t>
      </w:r>
      <w:r w:rsidR="00A1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расчетов по фактическим объемам потребления энергии (мощности)</w:t>
      </w:r>
      <w:r w:rsidR="007E6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решения ИПКВ</w:t>
      </w:r>
    </w:p>
    <w:p w:rsidR="00A50577" w:rsidRDefault="00A50577" w:rsidP="00060756">
      <w:pPr>
        <w:widowControl w:val="0"/>
        <w:spacing w:after="8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CB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достижения поставленной цели</w:t>
      </w:r>
      <w:r w:rsidR="00FF6A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B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запланировано приобретение контрольно-измерительных приборов вольтамперфазометр «ПАРМА-ВАФ-А(С), </w:t>
      </w:r>
      <w:r w:rsidR="00281287">
        <w:rPr>
          <w:rFonts w:ascii="Times New Roman" w:eastAsia="Times New Roman" w:hAnsi="Times New Roman" w:cs="Times New Roman"/>
          <w:sz w:val="24"/>
          <w:szCs w:val="24"/>
          <w:lang w:eastAsia="ru-RU"/>
        </w:rPr>
        <w:t>у единственного поставщика</w:t>
      </w:r>
      <w:r w:rsidR="00800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«ПАРМА», </w:t>
      </w:r>
      <w:r w:rsidR="00CB50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аналогичных ранее закупленным</w:t>
      </w:r>
      <w:r w:rsidR="0028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находящимся в эксплуатации линейного персонала, для</w:t>
      </w:r>
      <w:r w:rsidR="00FF6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</w:t>
      </w:r>
      <w:r w:rsidR="007F3B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восполне</w:t>
      </w:r>
      <w:r w:rsidR="00C5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парка </w:t>
      </w:r>
      <w:r w:rsidR="0028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имеющихся </w:t>
      </w:r>
      <w:r w:rsidR="00C51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приборов </w:t>
      </w:r>
      <w:r w:rsidR="002812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B4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увеличения</w:t>
      </w:r>
      <w:r w:rsidR="00FF6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объема работ линейного персонала.</w:t>
      </w:r>
      <w:r w:rsidR="00CB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0756" w:rsidRPr="00CB50E2" w:rsidRDefault="00060756" w:rsidP="00060756">
      <w:pPr>
        <w:widowControl w:val="0"/>
        <w:spacing w:after="8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 Контрагента</w:t>
      </w:r>
      <w:r w:rsidR="007F3B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обусловлен тем, что ООО «ПАРМА» является разработчиком и производителем вольтамперфазометров «ПАРМА ВАФ-А(С)</w:t>
      </w:r>
      <w:r w:rsidR="00C51E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закупленных ранее </w:t>
      </w:r>
      <w:r w:rsidR="0028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Обществом </w:t>
      </w:r>
      <w:r w:rsidR="00C51E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используемых в настоящее время линейным персоналом.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50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Расчет стоимости проекта выполнен на основании технико-коммерческого предложения ООО «ПАРМА», в прогнозных ценах на </w:t>
      </w:r>
      <w:r w:rsidR="004500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</w:t>
      </w:r>
      <w:r w:rsidR="0045002F" w:rsidRPr="00450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50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квартал 2024 года.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Приобретение новых контрольно-измерительных приборов является экономически целесообразным.</w:t>
      </w:r>
    </w:p>
    <w:p w:rsidR="00A50577" w:rsidRPr="00A50577" w:rsidRDefault="00A50577" w:rsidP="00A50577">
      <w:pPr>
        <w:numPr>
          <w:ilvl w:val="1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информация</w:t>
      </w:r>
    </w:p>
    <w:p w:rsidR="00A50577" w:rsidRPr="00A50577" w:rsidRDefault="00FE4550" w:rsidP="00A50577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информации не имеется.</w:t>
      </w:r>
    </w:p>
    <w:p w:rsidR="00A50577" w:rsidRPr="00A50577" w:rsidRDefault="00A50577" w:rsidP="00A50577">
      <w:pPr>
        <w:numPr>
          <w:ilvl w:val="0"/>
          <w:numId w:val="2"/>
        </w:numPr>
        <w:spacing w:before="24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СРОКИ И ЗАТРАТЫ ИПКВ</w:t>
      </w:r>
    </w:p>
    <w:p w:rsidR="00A50577" w:rsidRPr="00A50577" w:rsidRDefault="005B3CCB" w:rsidP="00A50577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проекта запланирована на 2кв. 2024 года.</w:t>
      </w:r>
    </w:p>
    <w:p w:rsidR="00A50577" w:rsidRPr="00AC3D71" w:rsidRDefault="005B3CCB" w:rsidP="00A50577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плановая стоимость проекта составляет 1</w:t>
      </w:r>
      <w:r w:rsidR="005D7A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46FB6">
        <w:rPr>
          <w:rFonts w:ascii="Times New Roman" w:eastAsia="Times New Roman" w:hAnsi="Times New Roman" w:cs="Times New Roman"/>
          <w:sz w:val="24"/>
          <w:szCs w:val="24"/>
          <w:lang w:eastAsia="ru-RU"/>
        </w:rPr>
        <w:t>719</w:t>
      </w:r>
      <w:r w:rsidR="005D7A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4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46FB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F4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00 коп. с учетом НДС (</w:t>
      </w:r>
      <w:r w:rsidR="00F46FB6">
        <w:rPr>
          <w:rFonts w:ascii="Times New Roman" w:eastAsia="Times New Roman" w:hAnsi="Times New Roman" w:cs="Times New Roman"/>
          <w:sz w:val="24"/>
          <w:szCs w:val="24"/>
          <w:lang w:eastAsia="ru-RU"/>
        </w:rPr>
        <w:t>1 432,6</w:t>
      </w:r>
      <w:r w:rsidR="00AF4608" w:rsidRPr="00AC3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00 коп. без учета НДС).</w:t>
      </w:r>
    </w:p>
    <w:p w:rsidR="00A50577" w:rsidRPr="00FB22C3" w:rsidRDefault="00A50577" w:rsidP="00B36724">
      <w:pPr>
        <w:spacing w:after="0" w:line="240" w:lineRule="auto"/>
        <w:ind w:left="8508" w:hanging="14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22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1</w:t>
      </w:r>
    </w:p>
    <w:p w:rsidR="00A50577" w:rsidRPr="00FB22C3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Освоение: </w:t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="005D7A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</w:t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единиц национальной валюты без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15"/>
        <w:gridCol w:w="1418"/>
        <w:gridCol w:w="1082"/>
      </w:tblGrid>
      <w:tr w:rsidR="00A50577" w:rsidRPr="00FB22C3" w:rsidTr="005D7A5E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3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2E3B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2024-2028гг.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</w:tr>
      <w:tr w:rsidR="00A50577" w:rsidRPr="00FB22C3" w:rsidTr="005D7A5E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2E3B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2E3B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2E3B62" w:rsidP="00FB2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2026-2028</w:t>
            </w:r>
            <w:r w:rsidR="005D7A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0577" w:rsidRPr="00FB22C3" w:rsidTr="005D7A5E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2C3" w:rsidRPr="00FB22C3" w:rsidRDefault="00FB22C3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F4608" w:rsidP="005D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контрольно-измерительных приборов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F46FB6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</w:t>
            </w:r>
            <w:r w:rsidR="002E3B62"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2E3B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2E3B62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0577" w:rsidRPr="00FB22C3" w:rsidRDefault="00F46FB6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</w:t>
            </w:r>
            <w:r w:rsidR="002E3B62"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50577" w:rsidRPr="00FB22C3" w:rsidTr="005D7A5E">
        <w:trPr>
          <w:trHeight w:val="2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F46FB6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</w:t>
            </w: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FB22C3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FB22C3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FB22C3" w:rsidRDefault="00F46FB6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</w:t>
            </w:r>
            <w:r w:rsidRPr="00FB2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52350E" w:rsidRDefault="005D7A5E" w:rsidP="0052350E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2350E">
        <w:rPr>
          <w:rFonts w:ascii="Times New Roman" w:eastAsia="Calibri" w:hAnsi="Times New Roman" w:cs="Times New Roman"/>
          <w:sz w:val="24"/>
          <w:szCs w:val="24"/>
        </w:rPr>
        <w:t xml:space="preserve">Освоение по кварталам 2024 года: </w:t>
      </w:r>
      <w:r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2350E">
        <w:rPr>
          <w:rFonts w:ascii="Times New Roman" w:eastAsia="Calibri" w:hAnsi="Times New Roman" w:cs="Times New Roman"/>
          <w:sz w:val="24"/>
          <w:szCs w:val="24"/>
        </w:rPr>
        <w:t>0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 тыс. руб., </w:t>
      </w:r>
      <w:r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6FB6" w:rsidRPr="00F46FB6">
        <w:rPr>
          <w:rFonts w:ascii="Times New Roman" w:eastAsia="Calibri" w:hAnsi="Times New Roman" w:cs="Times New Roman"/>
          <w:sz w:val="24"/>
          <w:szCs w:val="24"/>
        </w:rPr>
        <w:t>1 432,6</w:t>
      </w:r>
      <w:r w:rsidR="00F46F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тыс. руб., </w:t>
      </w:r>
      <w:r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Pr="001A3675">
        <w:rPr>
          <w:rFonts w:ascii="Times New Roman" w:eastAsia="Calibri" w:hAnsi="Times New Roman" w:cs="Times New Roman"/>
          <w:sz w:val="24"/>
          <w:szCs w:val="24"/>
        </w:rPr>
        <w:t xml:space="preserve">тыс. руб.,  </w:t>
      </w:r>
    </w:p>
    <w:p w:rsidR="005D7A5E" w:rsidRPr="001A3675" w:rsidRDefault="0052350E" w:rsidP="0052350E">
      <w:pPr>
        <w:spacing w:after="0" w:line="240" w:lineRule="auto"/>
        <w:ind w:left="426" w:hanging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A5E"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D7A5E"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>тыс. руб.</w:t>
      </w:r>
    </w:p>
    <w:p w:rsidR="00A50577" w:rsidRPr="00FB22C3" w:rsidRDefault="00A50577" w:rsidP="00FB22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22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2</w:t>
      </w:r>
    </w:p>
    <w:p w:rsidR="00A50577" w:rsidRPr="00FB22C3" w:rsidRDefault="00A50577" w:rsidP="00A50577">
      <w:pPr>
        <w:spacing w:before="80" w:after="80" w:line="240" w:lineRule="auto"/>
        <w:ind w:left="142" w:right="-17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Финансирование: </w:t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FB22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тыс. единиц национальной валюты с НДС</w:t>
      </w:r>
    </w:p>
    <w:tbl>
      <w:tblPr>
        <w:tblW w:w="97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4537"/>
        <w:gridCol w:w="1181"/>
        <w:gridCol w:w="1181"/>
        <w:gridCol w:w="1352"/>
        <w:gridCol w:w="1082"/>
      </w:tblGrid>
      <w:tr w:rsidR="00A50577" w:rsidRPr="00FB22C3" w:rsidTr="005D7A5E">
        <w:trPr>
          <w:trHeight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3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52350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2024-2028гг.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</w:tr>
      <w:tr w:rsidR="00A50577" w:rsidRPr="00FB22C3" w:rsidTr="005D7A5E">
        <w:trPr>
          <w:trHeight w:val="1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2025г.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2026-2028гг.</w:t>
            </w: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A50577" w:rsidRPr="00FB22C3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0577" w:rsidRPr="00FB22C3" w:rsidTr="005D7A5E">
        <w:trPr>
          <w:trHeight w:val="2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22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5D7A5E" w:rsidP="005D7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контрольно-измерительных приборов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F46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46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77" w:rsidRPr="00FB22C3" w:rsidRDefault="005D7A5E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0577" w:rsidRPr="00FB22C3" w:rsidRDefault="00F46FB6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1 719,12</w:t>
            </w:r>
          </w:p>
        </w:tc>
      </w:tr>
      <w:tr w:rsidR="00A50577" w:rsidRPr="00A50577" w:rsidTr="005D7A5E">
        <w:trPr>
          <w:trHeight w:val="2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50577" w:rsidRPr="00A50577" w:rsidRDefault="00A50577" w:rsidP="00A5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7A5E" w:rsidRPr="001A3675" w:rsidRDefault="0052350E" w:rsidP="0052350E">
      <w:p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Финансирование по кварталам: </w:t>
      </w:r>
      <w:r w:rsidR="005D7A5E"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тыс. руб., </w:t>
      </w:r>
      <w:r w:rsidR="005D7A5E"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F46FB6" w:rsidRPr="00F46FB6">
        <w:rPr>
          <w:rFonts w:ascii="Times New Roman" w:eastAsia="Calibri" w:hAnsi="Times New Roman" w:cs="Times New Roman"/>
          <w:sz w:val="24"/>
          <w:szCs w:val="24"/>
        </w:rPr>
        <w:t xml:space="preserve">1 719,12 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тыс. руб., </w:t>
      </w:r>
      <w:r w:rsidR="005D7A5E"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D7A5E">
        <w:rPr>
          <w:rFonts w:ascii="Times New Roman" w:eastAsia="Calibri" w:hAnsi="Times New Roman" w:cs="Times New Roman"/>
          <w:sz w:val="24"/>
          <w:szCs w:val="24"/>
        </w:rPr>
        <w:t>0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тыс. руб.,  </w:t>
      </w:r>
      <w:r w:rsidR="005D7A5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A5E" w:rsidRPr="001A3675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D7A5E">
        <w:rPr>
          <w:rFonts w:ascii="Times New Roman" w:eastAsia="Calibri" w:hAnsi="Times New Roman" w:cs="Times New Roman"/>
          <w:sz w:val="24"/>
          <w:szCs w:val="24"/>
        </w:rPr>
        <w:t>0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5D7A5E" w:rsidRDefault="0052350E" w:rsidP="005D7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D7A5E" w:rsidRPr="00AA5743">
        <w:rPr>
          <w:rFonts w:ascii="Times New Roman" w:eastAsia="Calibri" w:hAnsi="Times New Roman" w:cs="Times New Roman"/>
          <w:b/>
          <w:sz w:val="24"/>
          <w:szCs w:val="24"/>
        </w:rPr>
        <w:t>Ввод</w:t>
      </w:r>
      <w:r w:rsidR="005D7A5E" w:rsidRPr="00AA574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D7A5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5D7A5E" w:rsidRPr="00AA5743">
        <w:rPr>
          <w:rFonts w:ascii="Times New Roman" w:eastAsia="Calibri" w:hAnsi="Times New Roman" w:cs="Times New Roman"/>
          <w:sz w:val="24"/>
          <w:szCs w:val="24"/>
        </w:rPr>
        <w:t xml:space="preserve"> кв. 20</w:t>
      </w:r>
      <w:r w:rsidR="005D7A5E">
        <w:rPr>
          <w:rFonts w:ascii="Times New Roman" w:eastAsia="Calibri" w:hAnsi="Times New Roman" w:cs="Times New Roman"/>
          <w:sz w:val="24"/>
          <w:szCs w:val="24"/>
        </w:rPr>
        <w:t>2</w:t>
      </w:r>
      <w:r w:rsidRPr="0052350E">
        <w:rPr>
          <w:rFonts w:ascii="Times New Roman" w:eastAsia="Calibri" w:hAnsi="Times New Roman" w:cs="Times New Roman"/>
          <w:sz w:val="24"/>
          <w:szCs w:val="24"/>
        </w:rPr>
        <w:t>4</w:t>
      </w:r>
      <w:r w:rsidR="005D7A5E" w:rsidRPr="00AA5743">
        <w:rPr>
          <w:rFonts w:ascii="Times New Roman" w:eastAsia="Calibri" w:hAnsi="Times New Roman" w:cs="Times New Roman"/>
          <w:sz w:val="24"/>
          <w:szCs w:val="24"/>
        </w:rPr>
        <w:t xml:space="preserve"> г. – </w:t>
      </w:r>
      <w:r w:rsidR="00F46FB6">
        <w:rPr>
          <w:rFonts w:ascii="Times New Roman" w:eastAsia="Calibri" w:hAnsi="Times New Roman" w:cs="Times New Roman"/>
          <w:sz w:val="24"/>
          <w:szCs w:val="24"/>
        </w:rPr>
        <w:t>1 432,6</w:t>
      </w:r>
      <w:r w:rsidR="005D7A5E" w:rsidRPr="001A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A5E" w:rsidRPr="00AA5743">
        <w:rPr>
          <w:rFonts w:ascii="Times New Roman" w:eastAsia="Calibri" w:hAnsi="Times New Roman" w:cs="Times New Roman"/>
          <w:sz w:val="24"/>
          <w:szCs w:val="24"/>
        </w:rPr>
        <w:t>тыс. руб. без учёта НДС.</w:t>
      </w:r>
    </w:p>
    <w:p w:rsidR="00F97CD3" w:rsidRPr="00722F00" w:rsidRDefault="00F97CD3" w:rsidP="005D7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0577" w:rsidRPr="00A50577" w:rsidRDefault="00A50577" w:rsidP="00A50577">
      <w:pPr>
        <w:numPr>
          <w:ilvl w:val="0"/>
          <w:numId w:val="2"/>
        </w:numPr>
        <w:spacing w:before="240" w:after="20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ЭФФЕКТИВНОСТЬ ИПКВ</w:t>
      </w:r>
    </w:p>
    <w:p w:rsidR="00344E54" w:rsidRPr="008B0AAD" w:rsidRDefault="00344E54" w:rsidP="008B0AA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Куратор ИПКВ – Заместитель генерального директора по энергосбытовой деятельности – Самойлов Сергей Евгеньевич, </w:t>
      </w:r>
      <w:bookmarkStart w:id="1" w:name="_Hlk139358951"/>
      <w:proofErr w:type="spellStart"/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samoylov</w:t>
      </w:r>
      <w:proofErr w:type="spellEnd"/>
      <w:r w:rsidR="00F97CD3" w:rsidRPr="00F46FB6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se</w:t>
      </w:r>
      <w:r w:rsidR="00F97CD3" w:rsidRPr="00F46FB6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pesc</w:t>
      </w:r>
      <w:proofErr w:type="spellEnd"/>
      <w:r w:rsidR="00F97CD3" w:rsidRPr="00F46FB6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bookmarkEnd w:id="1"/>
      <w:r>
        <w:rPr>
          <w:lang w:eastAsia="ru-RU"/>
        </w:rPr>
        <w:t>,</w:t>
      </w:r>
      <w:r w:rsidRPr="008B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(812) 303-97-11;</w:t>
      </w:r>
    </w:p>
    <w:p w:rsidR="00344E54" w:rsidRPr="008B0AAD" w:rsidRDefault="00344E54" w:rsidP="008B0AA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ответственное лицо ИПКВ – Заместитель генерального директора по энергосбытовой деятельности – Самойлов Сергей Евгеньевич, 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samoylov</w:t>
      </w:r>
      <w:r w:rsidR="00F97CD3" w:rsidRPr="0042064E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se</w:t>
      </w:r>
      <w:r w:rsidR="00F97CD3" w:rsidRPr="0042064E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pesc</w:t>
      </w:r>
      <w:r w:rsidR="00F97CD3" w:rsidRPr="0042064E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7CD3" w:rsidRPr="00F97CD3">
        <w:rPr>
          <w:rStyle w:val="a6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>
        <w:rPr>
          <w:lang w:eastAsia="ru-RU"/>
        </w:rPr>
        <w:t>,</w:t>
      </w:r>
      <w:r w:rsidRPr="008B0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(812) 303-97-11;</w:t>
      </w:r>
    </w:p>
    <w:p w:rsidR="00344E54" w:rsidRDefault="00344E54" w:rsidP="0080059E">
      <w:pPr>
        <w:pStyle w:val="a7"/>
        <w:ind w:left="0"/>
        <w:jc w:val="both"/>
        <w:rPr>
          <w:highlight w:val="yellow"/>
        </w:rPr>
      </w:pPr>
      <w:r>
        <w:t xml:space="preserve">Инициатор ИПКВ – </w:t>
      </w:r>
      <w:r w:rsidR="008B0AAD">
        <w:t>Д</w:t>
      </w:r>
      <w:r w:rsidRPr="00C53BB4">
        <w:t>иректор</w:t>
      </w:r>
      <w:r>
        <w:t xml:space="preserve"> по техническому сопровождению сбытовой деятельности – </w:t>
      </w:r>
      <w:r w:rsidR="008B0AAD">
        <w:t>Кабанов Игорь Александрович</w:t>
      </w:r>
      <w:r w:rsidRPr="00C53BB4">
        <w:t xml:space="preserve">, </w:t>
      </w:r>
      <w:r w:rsidR="008B0AAD" w:rsidRPr="008B0AAD">
        <w:rPr>
          <w:rStyle w:val="a6"/>
          <w:lang w:val="en-US"/>
        </w:rPr>
        <w:t>kabanov</w:t>
      </w:r>
      <w:r w:rsidR="008B0AAD" w:rsidRPr="000B49FC">
        <w:rPr>
          <w:rStyle w:val="a6"/>
        </w:rPr>
        <w:t>_</w:t>
      </w:r>
      <w:r w:rsidR="008B0AAD" w:rsidRPr="008B0AAD">
        <w:rPr>
          <w:rStyle w:val="a6"/>
          <w:lang w:val="en-US"/>
        </w:rPr>
        <w:t>ia</w:t>
      </w:r>
      <w:r w:rsidR="008B0AAD" w:rsidRPr="000B49FC">
        <w:rPr>
          <w:rStyle w:val="a6"/>
        </w:rPr>
        <w:t>@</w:t>
      </w:r>
      <w:r w:rsidR="008B0AAD" w:rsidRPr="008B0AAD">
        <w:rPr>
          <w:rStyle w:val="a6"/>
          <w:lang w:val="en-US"/>
        </w:rPr>
        <w:t>pesc</w:t>
      </w:r>
      <w:r w:rsidR="008B0AAD" w:rsidRPr="000B49FC">
        <w:rPr>
          <w:rStyle w:val="a6"/>
        </w:rPr>
        <w:t>.</w:t>
      </w:r>
      <w:r w:rsidR="008B0AAD" w:rsidRPr="008B0AAD">
        <w:rPr>
          <w:rStyle w:val="a6"/>
          <w:lang w:val="en-US"/>
        </w:rPr>
        <w:t>ru</w:t>
      </w:r>
      <w:r>
        <w:t xml:space="preserve">, (812) </w:t>
      </w:r>
      <w:r w:rsidR="008B0AAD">
        <w:t>619-11-05</w:t>
      </w:r>
      <w:r>
        <w:t>, доб. </w:t>
      </w:r>
      <w:r w:rsidR="008B0AAD">
        <w:t>57</w:t>
      </w:r>
      <w:r>
        <w:t>-</w:t>
      </w:r>
      <w:r w:rsidR="008B0AAD">
        <w:t>200</w:t>
      </w:r>
      <w:r>
        <w:t>.</w:t>
      </w:r>
    </w:p>
    <w:sectPr w:rsidR="00344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36D" w:rsidRDefault="0087436D" w:rsidP="00A50577">
      <w:pPr>
        <w:spacing w:after="0" w:line="240" w:lineRule="auto"/>
      </w:pPr>
      <w:r>
        <w:separator/>
      </w:r>
    </w:p>
  </w:endnote>
  <w:endnote w:type="continuationSeparator" w:id="0">
    <w:p w:rsidR="0087436D" w:rsidRDefault="0087436D" w:rsidP="00A5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36D" w:rsidRDefault="0087436D" w:rsidP="00A50577">
      <w:pPr>
        <w:spacing w:after="0" w:line="240" w:lineRule="auto"/>
      </w:pPr>
      <w:r>
        <w:separator/>
      </w:r>
    </w:p>
  </w:footnote>
  <w:footnote w:type="continuationSeparator" w:id="0">
    <w:p w:rsidR="0087436D" w:rsidRDefault="0087436D" w:rsidP="00A50577">
      <w:pPr>
        <w:spacing w:after="0" w:line="240" w:lineRule="auto"/>
      </w:pPr>
      <w:r>
        <w:continuationSeparator/>
      </w:r>
    </w:p>
  </w:footnote>
  <w:footnote w:id="1">
    <w:p w:rsidR="00A50577" w:rsidRPr="00A14F26" w:rsidRDefault="00A50577" w:rsidP="00A50577">
      <w:pPr>
        <w:pStyle w:val="a3"/>
        <w:jc w:val="both"/>
      </w:pPr>
      <w:r w:rsidRPr="00A14F26">
        <w:rPr>
          <w:rStyle w:val="a5"/>
        </w:rPr>
        <w:footnoteRef/>
      </w:r>
      <w:r w:rsidRPr="00A14F26">
        <w:t xml:space="preserve"> Для проектов, подпадающих под действие Политики Управления </w:t>
      </w:r>
      <w:r>
        <w:t>проектной деятельностью</w:t>
      </w:r>
      <w:r w:rsidRPr="00A14F26">
        <w:t>, данная записка исполняет роль документа «Запрос на проект». Согласно требованиям Политики, Запрос на проект должен быть согласован Куратором, Единым ответственным лицом, Менеджером проекта, Курирующим ЦУП и Заказчиком проекта. Подтверждение согласования должно быть прислано в Центр МЭК.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2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73E"/>
    <w:rsid w:val="00060756"/>
    <w:rsid w:val="000B49FC"/>
    <w:rsid w:val="000E60B9"/>
    <w:rsid w:val="00100A05"/>
    <w:rsid w:val="0015704E"/>
    <w:rsid w:val="001F4E94"/>
    <w:rsid w:val="0023523E"/>
    <w:rsid w:val="00242B5B"/>
    <w:rsid w:val="002509FF"/>
    <w:rsid w:val="0026673E"/>
    <w:rsid w:val="00281287"/>
    <w:rsid w:val="002E3B62"/>
    <w:rsid w:val="00344E54"/>
    <w:rsid w:val="00371E59"/>
    <w:rsid w:val="0042064E"/>
    <w:rsid w:val="0045002F"/>
    <w:rsid w:val="00472CBA"/>
    <w:rsid w:val="004C2819"/>
    <w:rsid w:val="004F1836"/>
    <w:rsid w:val="0052350E"/>
    <w:rsid w:val="005B3CCB"/>
    <w:rsid w:val="005D7A5E"/>
    <w:rsid w:val="005F00C7"/>
    <w:rsid w:val="00615F51"/>
    <w:rsid w:val="00661FF0"/>
    <w:rsid w:val="00687DCC"/>
    <w:rsid w:val="00752AAF"/>
    <w:rsid w:val="007E69A5"/>
    <w:rsid w:val="007F3B70"/>
    <w:rsid w:val="0080059E"/>
    <w:rsid w:val="0087436D"/>
    <w:rsid w:val="00886344"/>
    <w:rsid w:val="008B0AAD"/>
    <w:rsid w:val="008F7E5B"/>
    <w:rsid w:val="0091718E"/>
    <w:rsid w:val="009C7A03"/>
    <w:rsid w:val="009D5124"/>
    <w:rsid w:val="009E7C27"/>
    <w:rsid w:val="00A169D8"/>
    <w:rsid w:val="00A50577"/>
    <w:rsid w:val="00A53E48"/>
    <w:rsid w:val="00AB0D4A"/>
    <w:rsid w:val="00AC3D71"/>
    <w:rsid w:val="00AF4608"/>
    <w:rsid w:val="00B36724"/>
    <w:rsid w:val="00B66FD4"/>
    <w:rsid w:val="00BB1850"/>
    <w:rsid w:val="00C51EAB"/>
    <w:rsid w:val="00CB50E2"/>
    <w:rsid w:val="00DB0447"/>
    <w:rsid w:val="00E3269B"/>
    <w:rsid w:val="00E67139"/>
    <w:rsid w:val="00EE1A8D"/>
    <w:rsid w:val="00EE28AE"/>
    <w:rsid w:val="00F46FB6"/>
    <w:rsid w:val="00F555F4"/>
    <w:rsid w:val="00F97CD3"/>
    <w:rsid w:val="00FB22C3"/>
    <w:rsid w:val="00FE4550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C0929"/>
  <w15:chartTrackingRefBased/>
  <w15:docId w15:val="{64C71613-1EB3-43F9-AE84-C2A386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A5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505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A50577"/>
    <w:rPr>
      <w:vertAlign w:val="superscript"/>
    </w:rPr>
  </w:style>
  <w:style w:type="character" w:styleId="a6">
    <w:name w:val="Hyperlink"/>
    <w:basedOn w:val="a0"/>
    <w:uiPriority w:val="99"/>
    <w:unhideWhenUsed/>
    <w:rsid w:val="00344E54"/>
    <w:rPr>
      <w:color w:val="0563C1" w:themeColor="hyperlink"/>
      <w:u w:val="single"/>
    </w:rPr>
  </w:style>
  <w:style w:type="paragraph" w:styleId="a7">
    <w:name w:val="Body Text Indent"/>
    <w:basedOn w:val="a"/>
    <w:link w:val="a8"/>
    <w:rsid w:val="00344E5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44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44E5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8005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1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Екатерина Вячеславовна</dc:creator>
  <cp:keywords/>
  <dc:description/>
  <cp:lastModifiedBy>Панина Ольга Михайловна</cp:lastModifiedBy>
  <cp:revision>35</cp:revision>
  <dcterms:created xsi:type="dcterms:W3CDTF">2020-06-10T13:57:00Z</dcterms:created>
  <dcterms:modified xsi:type="dcterms:W3CDTF">2023-08-07T10:23:00Z</dcterms:modified>
</cp:coreProperties>
</file>