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EB7" w:rsidRPr="00417001" w:rsidRDefault="00013EB7" w:rsidP="00013EB7">
      <w:pPr>
        <w:jc w:val="center"/>
        <w:rPr>
          <w:b/>
          <w:sz w:val="26"/>
          <w:szCs w:val="26"/>
        </w:rPr>
      </w:pPr>
      <w:r w:rsidRPr="00417001">
        <w:rPr>
          <w:b/>
          <w:sz w:val="26"/>
          <w:szCs w:val="26"/>
        </w:rPr>
        <w:t xml:space="preserve">Краткое описание </w:t>
      </w:r>
      <w:r w:rsidR="00313E47">
        <w:rPr>
          <w:b/>
          <w:sz w:val="26"/>
          <w:szCs w:val="26"/>
        </w:rPr>
        <w:t xml:space="preserve">скорректированной </w:t>
      </w:r>
      <w:r w:rsidRPr="00417001">
        <w:rPr>
          <w:b/>
          <w:sz w:val="26"/>
          <w:szCs w:val="26"/>
        </w:rPr>
        <w:t>инвестиционной программы</w:t>
      </w:r>
    </w:p>
    <w:p w:rsidR="00013EB7" w:rsidRPr="00417001" w:rsidRDefault="00266DD2" w:rsidP="00C4557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АО «Петербургская сбытовая компания» </w:t>
      </w:r>
      <w:r w:rsidR="00313E47">
        <w:rPr>
          <w:b/>
          <w:sz w:val="26"/>
          <w:szCs w:val="26"/>
        </w:rPr>
        <w:t>на 20</w:t>
      </w:r>
      <w:r w:rsidR="00FA37FE">
        <w:rPr>
          <w:b/>
          <w:sz w:val="26"/>
          <w:szCs w:val="26"/>
        </w:rPr>
        <w:t>2</w:t>
      </w:r>
      <w:r w:rsidR="009B115D">
        <w:rPr>
          <w:b/>
          <w:sz w:val="26"/>
          <w:szCs w:val="26"/>
        </w:rPr>
        <w:t>4</w:t>
      </w:r>
      <w:r w:rsidR="00313E47">
        <w:rPr>
          <w:b/>
          <w:sz w:val="26"/>
          <w:szCs w:val="26"/>
        </w:rPr>
        <w:t xml:space="preserve"> – 202</w:t>
      </w:r>
      <w:r w:rsidR="009B115D">
        <w:rPr>
          <w:b/>
          <w:sz w:val="26"/>
          <w:szCs w:val="26"/>
        </w:rPr>
        <w:t>7</w:t>
      </w:r>
      <w:r w:rsidR="00313E47">
        <w:rPr>
          <w:b/>
          <w:sz w:val="26"/>
          <w:szCs w:val="26"/>
        </w:rPr>
        <w:t xml:space="preserve"> </w:t>
      </w:r>
      <w:r w:rsidR="0063426D">
        <w:rPr>
          <w:b/>
          <w:sz w:val="26"/>
          <w:szCs w:val="26"/>
        </w:rPr>
        <w:t>годы</w:t>
      </w:r>
      <w:r w:rsidR="00313E47">
        <w:rPr>
          <w:b/>
          <w:sz w:val="26"/>
          <w:szCs w:val="26"/>
        </w:rPr>
        <w:t>.</w:t>
      </w:r>
    </w:p>
    <w:p w:rsidR="00013EB7" w:rsidRPr="009A28EC" w:rsidRDefault="00013EB7" w:rsidP="00013EB7">
      <w:pPr>
        <w:jc w:val="center"/>
        <w:rPr>
          <w:b/>
          <w:sz w:val="32"/>
          <w:szCs w:val="32"/>
        </w:rPr>
      </w:pPr>
    </w:p>
    <w:p w:rsidR="00D16979" w:rsidRPr="00417001" w:rsidRDefault="00086585" w:rsidP="00D16979">
      <w:pPr>
        <w:ind w:firstLine="567"/>
        <w:jc w:val="both"/>
        <w:rPr>
          <w:sz w:val="26"/>
          <w:szCs w:val="26"/>
        </w:rPr>
      </w:pPr>
      <w:r w:rsidRPr="00417001">
        <w:rPr>
          <w:sz w:val="26"/>
          <w:szCs w:val="26"/>
        </w:rPr>
        <w:t>Основной целью инвестиционной программы</w:t>
      </w:r>
      <w:r w:rsidR="00266DD2">
        <w:rPr>
          <w:sz w:val="26"/>
          <w:szCs w:val="26"/>
        </w:rPr>
        <w:t xml:space="preserve"> АО «Петербургская сбытовая компания» </w:t>
      </w:r>
      <w:r w:rsidR="0077057A">
        <w:rPr>
          <w:sz w:val="26"/>
          <w:szCs w:val="26"/>
        </w:rPr>
        <w:t>на 20</w:t>
      </w:r>
      <w:r w:rsidR="00FA37FE">
        <w:rPr>
          <w:sz w:val="26"/>
          <w:szCs w:val="26"/>
        </w:rPr>
        <w:t>2</w:t>
      </w:r>
      <w:r w:rsidR="009B115D">
        <w:rPr>
          <w:sz w:val="26"/>
          <w:szCs w:val="26"/>
        </w:rPr>
        <w:t>4</w:t>
      </w:r>
      <w:r w:rsidR="0077057A">
        <w:rPr>
          <w:sz w:val="26"/>
          <w:szCs w:val="26"/>
        </w:rPr>
        <w:t>-202</w:t>
      </w:r>
      <w:r w:rsidR="009B115D">
        <w:rPr>
          <w:sz w:val="26"/>
          <w:szCs w:val="26"/>
        </w:rPr>
        <w:t>7</w:t>
      </w:r>
      <w:r w:rsidR="0077057A">
        <w:rPr>
          <w:sz w:val="26"/>
          <w:szCs w:val="26"/>
        </w:rPr>
        <w:t xml:space="preserve"> годы</w:t>
      </w:r>
      <w:r w:rsidR="007F5D98">
        <w:rPr>
          <w:sz w:val="26"/>
          <w:szCs w:val="26"/>
        </w:rPr>
        <w:t xml:space="preserve"> является обеспечение качественной организации</w:t>
      </w:r>
      <w:r w:rsidRPr="00417001">
        <w:rPr>
          <w:sz w:val="26"/>
          <w:szCs w:val="26"/>
        </w:rPr>
        <w:t xml:space="preserve"> </w:t>
      </w:r>
      <w:r w:rsidR="007F5D98">
        <w:rPr>
          <w:sz w:val="26"/>
          <w:szCs w:val="26"/>
        </w:rPr>
        <w:t xml:space="preserve">обслуживания потребителей </w:t>
      </w:r>
      <w:r w:rsidR="00266DD2">
        <w:rPr>
          <w:sz w:val="26"/>
          <w:szCs w:val="26"/>
        </w:rPr>
        <w:t xml:space="preserve">Санкт-Петербурга и Ленинградской </w:t>
      </w:r>
      <w:r w:rsidR="007F5D98">
        <w:rPr>
          <w:sz w:val="26"/>
          <w:szCs w:val="26"/>
        </w:rPr>
        <w:t>области</w:t>
      </w:r>
      <w:r w:rsidRPr="00417001">
        <w:rPr>
          <w:sz w:val="26"/>
          <w:szCs w:val="26"/>
        </w:rPr>
        <w:t xml:space="preserve"> в соответствии с действующими нормативными документами и </w:t>
      </w:r>
      <w:r w:rsidR="00266DD2" w:rsidRPr="00417001">
        <w:rPr>
          <w:sz w:val="26"/>
          <w:szCs w:val="26"/>
        </w:rPr>
        <w:t>«Стандарт</w:t>
      </w:r>
      <w:r w:rsidR="00266DD2">
        <w:rPr>
          <w:sz w:val="26"/>
          <w:szCs w:val="26"/>
        </w:rPr>
        <w:t>ом</w:t>
      </w:r>
      <w:r w:rsidR="00266DD2" w:rsidRPr="00417001">
        <w:rPr>
          <w:sz w:val="26"/>
          <w:szCs w:val="26"/>
        </w:rPr>
        <w:t xml:space="preserve"> качества обслуживания потребителей </w:t>
      </w:r>
      <w:r w:rsidR="00266DD2">
        <w:rPr>
          <w:sz w:val="26"/>
          <w:szCs w:val="26"/>
        </w:rPr>
        <w:t xml:space="preserve">АО «Петербургская сбытовая компания», </w:t>
      </w:r>
      <w:r w:rsidR="00FA37FE">
        <w:rPr>
          <w:sz w:val="26"/>
          <w:szCs w:val="26"/>
        </w:rPr>
        <w:t xml:space="preserve">повышение информационной безопасности, </w:t>
      </w:r>
      <w:r w:rsidR="00266DD2">
        <w:rPr>
          <w:sz w:val="26"/>
          <w:szCs w:val="26"/>
        </w:rPr>
        <w:t xml:space="preserve">а также плановая замена </w:t>
      </w:r>
      <w:r w:rsidR="00976A53">
        <w:rPr>
          <w:sz w:val="26"/>
          <w:szCs w:val="26"/>
        </w:rPr>
        <w:t xml:space="preserve">автомобилей в </w:t>
      </w:r>
      <w:r w:rsidR="00266DD2">
        <w:rPr>
          <w:sz w:val="26"/>
          <w:szCs w:val="26"/>
        </w:rPr>
        <w:t>автопарк</w:t>
      </w:r>
      <w:r w:rsidR="00976A53">
        <w:rPr>
          <w:sz w:val="26"/>
          <w:szCs w:val="26"/>
        </w:rPr>
        <w:t>е</w:t>
      </w:r>
      <w:r w:rsidR="00266DD2">
        <w:rPr>
          <w:sz w:val="26"/>
          <w:szCs w:val="26"/>
        </w:rPr>
        <w:t xml:space="preserve"> компании</w:t>
      </w:r>
      <w:r w:rsidRPr="00417001">
        <w:rPr>
          <w:sz w:val="26"/>
          <w:szCs w:val="26"/>
        </w:rPr>
        <w:t xml:space="preserve">. </w:t>
      </w:r>
    </w:p>
    <w:p w:rsidR="00D16979" w:rsidRPr="00417001" w:rsidRDefault="00AB5888" w:rsidP="00D1697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п</w:t>
      </w:r>
      <w:r w:rsidR="00086585" w:rsidRPr="00417001">
        <w:rPr>
          <w:sz w:val="26"/>
          <w:szCs w:val="26"/>
        </w:rPr>
        <w:t xml:space="preserve">рограмма направлена на </w:t>
      </w:r>
      <w:r w:rsidR="0077057A">
        <w:rPr>
          <w:sz w:val="26"/>
          <w:szCs w:val="26"/>
        </w:rPr>
        <w:t>выполнение норм федерального законодательства (Федеральный закон от 27.12.2018 № 522-</w:t>
      </w:r>
      <w:r w:rsidR="005B325D">
        <w:rPr>
          <w:sz w:val="26"/>
          <w:szCs w:val="26"/>
        </w:rPr>
        <w:t>ФЗ</w:t>
      </w:r>
      <w:r w:rsidR="0077057A">
        <w:rPr>
          <w:sz w:val="26"/>
          <w:szCs w:val="26"/>
        </w:rPr>
        <w:t xml:space="preserve">) в части построения интеллектуальной системы учета (ИСУ) в многоквартирных домах, </w:t>
      </w:r>
      <w:r w:rsidR="007245FB" w:rsidRPr="007245FB">
        <w:rPr>
          <w:sz w:val="26"/>
          <w:szCs w:val="26"/>
        </w:rPr>
        <w:t xml:space="preserve">поддержание </w:t>
      </w:r>
      <w:r w:rsidR="00266DD2">
        <w:rPr>
          <w:sz w:val="26"/>
          <w:szCs w:val="26"/>
        </w:rPr>
        <w:t xml:space="preserve">и обновление </w:t>
      </w:r>
      <w:r w:rsidR="007245FB" w:rsidRPr="007245FB">
        <w:rPr>
          <w:sz w:val="26"/>
          <w:szCs w:val="26"/>
        </w:rPr>
        <w:t xml:space="preserve">существующих </w:t>
      </w:r>
      <w:r w:rsidR="00266DD2">
        <w:rPr>
          <w:sz w:val="26"/>
          <w:szCs w:val="26"/>
        </w:rPr>
        <w:t xml:space="preserve">производственных </w:t>
      </w:r>
      <w:r w:rsidR="007245FB" w:rsidRPr="007245FB">
        <w:rPr>
          <w:sz w:val="26"/>
          <w:szCs w:val="26"/>
        </w:rPr>
        <w:t>мощностей</w:t>
      </w:r>
      <w:r w:rsidR="007245FB">
        <w:rPr>
          <w:sz w:val="26"/>
          <w:szCs w:val="26"/>
        </w:rPr>
        <w:t>,</w:t>
      </w:r>
      <w:r w:rsidR="007245FB" w:rsidRPr="007245FB">
        <w:rPr>
          <w:sz w:val="26"/>
          <w:szCs w:val="26"/>
        </w:rPr>
        <w:t xml:space="preserve"> </w:t>
      </w:r>
      <w:r w:rsidR="00266DD2">
        <w:rPr>
          <w:sz w:val="26"/>
          <w:szCs w:val="26"/>
        </w:rPr>
        <w:t>расширение спектра информационных сервисов для потребителей гарантирующего поставщика.</w:t>
      </w:r>
      <w:r w:rsidR="00086585" w:rsidRPr="00417001">
        <w:rPr>
          <w:sz w:val="26"/>
          <w:szCs w:val="26"/>
        </w:rPr>
        <w:t xml:space="preserve"> </w:t>
      </w:r>
    </w:p>
    <w:p w:rsidR="00086585" w:rsidRDefault="00086585" w:rsidP="00D16979">
      <w:pPr>
        <w:ind w:firstLine="567"/>
        <w:jc w:val="both"/>
        <w:rPr>
          <w:sz w:val="26"/>
          <w:szCs w:val="26"/>
        </w:rPr>
      </w:pPr>
      <w:r w:rsidRPr="00417001">
        <w:rPr>
          <w:sz w:val="26"/>
          <w:szCs w:val="26"/>
        </w:rPr>
        <w:t xml:space="preserve">Объем </w:t>
      </w:r>
      <w:r w:rsidR="006241C6">
        <w:rPr>
          <w:sz w:val="26"/>
          <w:szCs w:val="26"/>
        </w:rPr>
        <w:t>освоения</w:t>
      </w:r>
      <w:r w:rsidRPr="00417001">
        <w:rPr>
          <w:sz w:val="26"/>
          <w:szCs w:val="26"/>
        </w:rPr>
        <w:t xml:space="preserve"> </w:t>
      </w:r>
      <w:r w:rsidR="00313E47">
        <w:rPr>
          <w:sz w:val="26"/>
          <w:szCs w:val="26"/>
        </w:rPr>
        <w:t xml:space="preserve">скорректированной </w:t>
      </w:r>
      <w:r w:rsidRPr="00417001">
        <w:rPr>
          <w:sz w:val="26"/>
          <w:szCs w:val="26"/>
        </w:rPr>
        <w:t>инвестиционной программы</w:t>
      </w:r>
      <w:r w:rsidR="00266DD2">
        <w:rPr>
          <w:sz w:val="26"/>
          <w:szCs w:val="26"/>
        </w:rPr>
        <w:t xml:space="preserve"> </w:t>
      </w:r>
      <w:r w:rsidR="00196E78">
        <w:rPr>
          <w:sz w:val="26"/>
          <w:szCs w:val="26"/>
        </w:rPr>
        <w:br/>
      </w:r>
      <w:r w:rsidR="00266DD2">
        <w:rPr>
          <w:sz w:val="26"/>
          <w:szCs w:val="26"/>
        </w:rPr>
        <w:t xml:space="preserve">АО «Петербургская сбытовая компания» </w:t>
      </w:r>
      <w:r w:rsidR="00B82C9E">
        <w:rPr>
          <w:sz w:val="26"/>
          <w:szCs w:val="26"/>
        </w:rPr>
        <w:t xml:space="preserve">по </w:t>
      </w:r>
      <w:r w:rsidR="00502B44">
        <w:rPr>
          <w:sz w:val="26"/>
          <w:szCs w:val="26"/>
        </w:rPr>
        <w:t>Ленинградской области</w:t>
      </w:r>
      <w:r w:rsidR="00B82C9E">
        <w:rPr>
          <w:sz w:val="26"/>
          <w:szCs w:val="26"/>
        </w:rPr>
        <w:t xml:space="preserve"> </w:t>
      </w:r>
      <w:r w:rsidR="00075256" w:rsidRPr="00417001">
        <w:rPr>
          <w:sz w:val="26"/>
          <w:szCs w:val="26"/>
        </w:rPr>
        <w:t>составляет (без НДС)</w:t>
      </w:r>
      <w:r w:rsidR="00075256" w:rsidRPr="00DD4609">
        <w:rPr>
          <w:sz w:val="26"/>
          <w:szCs w:val="26"/>
        </w:rPr>
        <w:t xml:space="preserve"> </w:t>
      </w:r>
      <w:r w:rsidR="00AB5888">
        <w:rPr>
          <w:sz w:val="26"/>
          <w:szCs w:val="26"/>
        </w:rPr>
        <w:t>на 202</w:t>
      </w:r>
      <w:r w:rsidR="009B115D">
        <w:rPr>
          <w:sz w:val="26"/>
          <w:szCs w:val="26"/>
        </w:rPr>
        <w:t>4</w:t>
      </w:r>
      <w:r w:rsidR="00AB5888">
        <w:rPr>
          <w:sz w:val="26"/>
          <w:szCs w:val="26"/>
        </w:rPr>
        <w:t xml:space="preserve"> год – </w:t>
      </w:r>
      <w:r w:rsidR="001E03F1" w:rsidRPr="001E03F1">
        <w:rPr>
          <w:sz w:val="26"/>
          <w:szCs w:val="26"/>
        </w:rPr>
        <w:t>397</w:t>
      </w:r>
      <w:r w:rsidR="001E03F1">
        <w:rPr>
          <w:sz w:val="26"/>
          <w:szCs w:val="26"/>
        </w:rPr>
        <w:t>,8</w:t>
      </w:r>
      <w:bookmarkStart w:id="0" w:name="_GoBack"/>
      <w:bookmarkEnd w:id="0"/>
      <w:r w:rsidR="00AB5888">
        <w:rPr>
          <w:sz w:val="26"/>
          <w:szCs w:val="26"/>
        </w:rPr>
        <w:t xml:space="preserve"> млн рублей; </w:t>
      </w:r>
      <w:r w:rsidR="009B115D">
        <w:rPr>
          <w:sz w:val="26"/>
          <w:szCs w:val="26"/>
        </w:rPr>
        <w:t xml:space="preserve">на 2025 год – 473,8 млн рублей; на 2026 год – 312,7 млн рублей; </w:t>
      </w:r>
      <w:r w:rsidR="00AB5888">
        <w:rPr>
          <w:sz w:val="26"/>
          <w:szCs w:val="26"/>
        </w:rPr>
        <w:t>на 202</w:t>
      </w:r>
      <w:r w:rsidR="009B115D">
        <w:rPr>
          <w:sz w:val="26"/>
          <w:szCs w:val="26"/>
        </w:rPr>
        <w:t>7</w:t>
      </w:r>
      <w:r w:rsidR="00AB5888">
        <w:rPr>
          <w:sz w:val="26"/>
          <w:szCs w:val="26"/>
        </w:rPr>
        <w:t xml:space="preserve"> год – </w:t>
      </w:r>
      <w:r w:rsidR="009B115D">
        <w:rPr>
          <w:sz w:val="26"/>
          <w:szCs w:val="26"/>
        </w:rPr>
        <w:t>329,8</w:t>
      </w:r>
      <w:r w:rsidR="00AB5888">
        <w:rPr>
          <w:sz w:val="26"/>
          <w:szCs w:val="26"/>
        </w:rPr>
        <w:t xml:space="preserve"> млн рублей.</w:t>
      </w:r>
      <w:r w:rsidRPr="00417001">
        <w:rPr>
          <w:sz w:val="26"/>
          <w:szCs w:val="26"/>
        </w:rPr>
        <w:t xml:space="preserve"> В рамках ук</w:t>
      </w:r>
      <w:r w:rsidR="007F5D98">
        <w:rPr>
          <w:sz w:val="26"/>
          <w:szCs w:val="26"/>
        </w:rPr>
        <w:t>азанного финансирования планируе</w:t>
      </w:r>
      <w:r w:rsidRPr="00417001">
        <w:rPr>
          <w:sz w:val="26"/>
          <w:szCs w:val="26"/>
        </w:rPr>
        <w:t xml:space="preserve">тся </w:t>
      </w:r>
      <w:r w:rsidR="00417001">
        <w:rPr>
          <w:sz w:val="26"/>
          <w:szCs w:val="26"/>
        </w:rPr>
        <w:t xml:space="preserve">выполнить </w:t>
      </w:r>
      <w:r w:rsidRPr="00417001">
        <w:rPr>
          <w:sz w:val="26"/>
          <w:szCs w:val="26"/>
        </w:rPr>
        <w:t>следующие проекты:</w:t>
      </w:r>
    </w:p>
    <w:p w:rsidR="009A28EC" w:rsidRPr="00417001" w:rsidRDefault="009A28EC" w:rsidP="00D16979">
      <w:pPr>
        <w:ind w:firstLine="567"/>
        <w:jc w:val="both"/>
        <w:rPr>
          <w:sz w:val="26"/>
          <w:szCs w:val="26"/>
        </w:rPr>
      </w:pPr>
    </w:p>
    <w:p w:rsidR="00152592" w:rsidRPr="00152592" w:rsidRDefault="00152592" w:rsidP="00152592">
      <w:pPr>
        <w:ind w:left="851"/>
        <w:jc w:val="both"/>
        <w:rPr>
          <w:sz w:val="26"/>
          <w:szCs w:val="26"/>
        </w:rPr>
      </w:pPr>
    </w:p>
    <w:p w:rsidR="0063426D" w:rsidRDefault="0063426D" w:rsidP="0063426D">
      <w:pPr>
        <w:numPr>
          <w:ilvl w:val="0"/>
          <w:numId w:val="9"/>
        </w:numPr>
        <w:jc w:val="both"/>
        <w:rPr>
          <w:b/>
          <w:sz w:val="26"/>
          <w:szCs w:val="26"/>
        </w:rPr>
      </w:pPr>
      <w:r w:rsidRPr="00417001">
        <w:rPr>
          <w:b/>
          <w:sz w:val="26"/>
          <w:szCs w:val="26"/>
        </w:rPr>
        <w:t xml:space="preserve">Мероприятия </w:t>
      </w:r>
      <w:r>
        <w:rPr>
          <w:b/>
          <w:sz w:val="26"/>
          <w:szCs w:val="26"/>
        </w:rPr>
        <w:t xml:space="preserve">по </w:t>
      </w:r>
      <w:r w:rsidRPr="0063426D">
        <w:rPr>
          <w:b/>
          <w:sz w:val="26"/>
          <w:szCs w:val="26"/>
        </w:rPr>
        <w:t>построени</w:t>
      </w:r>
      <w:r>
        <w:rPr>
          <w:b/>
          <w:sz w:val="26"/>
          <w:szCs w:val="26"/>
        </w:rPr>
        <w:t>ю</w:t>
      </w:r>
      <w:r w:rsidRPr="0063426D">
        <w:rPr>
          <w:b/>
          <w:sz w:val="26"/>
          <w:szCs w:val="26"/>
        </w:rPr>
        <w:t xml:space="preserve"> интеллектуальной системы учета (ИСУ) в многоквартирных домах.</w:t>
      </w:r>
    </w:p>
    <w:p w:rsidR="0063426D" w:rsidRPr="0063426D" w:rsidRDefault="0063426D" w:rsidP="0063426D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</w:t>
      </w:r>
      <w:r w:rsidRPr="00417001">
        <w:rPr>
          <w:sz w:val="26"/>
          <w:szCs w:val="26"/>
        </w:rPr>
        <w:t>инвестици</w:t>
      </w:r>
      <w:r>
        <w:rPr>
          <w:sz w:val="26"/>
          <w:szCs w:val="26"/>
        </w:rPr>
        <w:t>онного проекта</w:t>
      </w:r>
      <w:r w:rsidRPr="0041700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выполнение норм федерального законодательства. </w:t>
      </w:r>
      <w:r w:rsidRPr="0063426D">
        <w:rPr>
          <w:sz w:val="26"/>
          <w:szCs w:val="26"/>
        </w:rPr>
        <w:t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</w:t>
      </w:r>
      <w:r>
        <w:rPr>
          <w:sz w:val="26"/>
          <w:szCs w:val="26"/>
        </w:rPr>
        <w:t>же последующую их эксплуатацию.</w:t>
      </w:r>
    </w:p>
    <w:p w:rsidR="0063426D" w:rsidRDefault="0063426D" w:rsidP="00D16979">
      <w:pPr>
        <w:ind w:left="851" w:hanging="284"/>
        <w:jc w:val="both"/>
        <w:rPr>
          <w:b/>
          <w:sz w:val="26"/>
          <w:szCs w:val="26"/>
        </w:rPr>
      </w:pPr>
    </w:p>
    <w:p w:rsidR="00086585" w:rsidRPr="00417001" w:rsidRDefault="0063426D" w:rsidP="00D16979">
      <w:pPr>
        <w:ind w:left="851" w:hanging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D16979" w:rsidRPr="00417001">
        <w:rPr>
          <w:b/>
          <w:sz w:val="26"/>
          <w:szCs w:val="26"/>
        </w:rPr>
        <w:t>. </w:t>
      </w:r>
      <w:r w:rsidR="00086585" w:rsidRPr="00417001">
        <w:rPr>
          <w:b/>
          <w:sz w:val="26"/>
          <w:szCs w:val="26"/>
        </w:rPr>
        <w:t>Мероприятия по ИТ-бюджету</w:t>
      </w:r>
      <w:r w:rsidR="00AF3D93">
        <w:rPr>
          <w:b/>
          <w:sz w:val="26"/>
          <w:szCs w:val="26"/>
        </w:rPr>
        <w:t xml:space="preserve"> – создание и расширение возможностей программных продуктов</w:t>
      </w:r>
      <w:r w:rsidR="00086585" w:rsidRPr="00417001">
        <w:rPr>
          <w:b/>
          <w:sz w:val="26"/>
          <w:szCs w:val="26"/>
        </w:rPr>
        <w:t>.</w:t>
      </w:r>
    </w:p>
    <w:p w:rsidR="007F5D98" w:rsidRDefault="00417001" w:rsidP="00FB0FBC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</w:t>
      </w:r>
      <w:r w:rsidRPr="00417001">
        <w:rPr>
          <w:sz w:val="26"/>
          <w:szCs w:val="26"/>
        </w:rPr>
        <w:t>инвестици</w:t>
      </w:r>
      <w:r>
        <w:rPr>
          <w:sz w:val="26"/>
          <w:szCs w:val="26"/>
        </w:rPr>
        <w:t>онных проектов</w:t>
      </w:r>
      <w:r w:rsidRPr="00417001">
        <w:rPr>
          <w:sz w:val="26"/>
          <w:szCs w:val="26"/>
        </w:rPr>
        <w:t xml:space="preserve"> </w:t>
      </w:r>
      <w:r w:rsidR="00FB0FBC" w:rsidRPr="00417001">
        <w:rPr>
          <w:sz w:val="26"/>
          <w:szCs w:val="26"/>
        </w:rPr>
        <w:t xml:space="preserve">– </w:t>
      </w:r>
      <w:r w:rsidR="007F5D98">
        <w:rPr>
          <w:sz w:val="26"/>
          <w:szCs w:val="26"/>
        </w:rPr>
        <w:t xml:space="preserve">своевременное обновление </w:t>
      </w:r>
      <w:r w:rsidR="00D63BDD">
        <w:rPr>
          <w:sz w:val="26"/>
          <w:szCs w:val="26"/>
        </w:rPr>
        <w:t>и внедрение информационных электронных сервисов</w:t>
      </w:r>
      <w:r w:rsidR="007F5D98">
        <w:rPr>
          <w:sz w:val="26"/>
          <w:szCs w:val="26"/>
        </w:rPr>
        <w:t>, модернизация локальной, корпоративной</w:t>
      </w:r>
      <w:r w:rsidR="007F5D98" w:rsidRPr="007F5D98">
        <w:rPr>
          <w:sz w:val="26"/>
          <w:szCs w:val="26"/>
        </w:rPr>
        <w:t xml:space="preserve"> </w:t>
      </w:r>
      <w:r w:rsidR="007F5D98" w:rsidRPr="00417001">
        <w:rPr>
          <w:sz w:val="26"/>
          <w:szCs w:val="26"/>
        </w:rPr>
        <w:t>и телефонной сети</w:t>
      </w:r>
      <w:r w:rsidR="007F5D98">
        <w:rPr>
          <w:sz w:val="26"/>
          <w:szCs w:val="26"/>
        </w:rPr>
        <w:t>, приобретение более емких и надежных серверов для бесперебойной работы</w:t>
      </w:r>
      <w:r w:rsidR="00D63BDD">
        <w:rPr>
          <w:sz w:val="26"/>
          <w:szCs w:val="26"/>
        </w:rPr>
        <w:t xml:space="preserve"> системы</w:t>
      </w:r>
      <w:r w:rsidR="007F5D98">
        <w:rPr>
          <w:sz w:val="26"/>
          <w:szCs w:val="26"/>
        </w:rPr>
        <w:t xml:space="preserve"> расчет</w:t>
      </w:r>
      <w:r w:rsidR="00D63BDD">
        <w:rPr>
          <w:sz w:val="26"/>
          <w:szCs w:val="26"/>
        </w:rPr>
        <w:t>ов</w:t>
      </w:r>
      <w:r w:rsidR="007F5D98">
        <w:rPr>
          <w:sz w:val="26"/>
          <w:szCs w:val="26"/>
        </w:rPr>
        <w:t xml:space="preserve"> с потребителями.</w:t>
      </w:r>
    </w:p>
    <w:p w:rsidR="009A28EC" w:rsidRPr="00417001" w:rsidRDefault="009A28EC" w:rsidP="00FB0FBC">
      <w:pPr>
        <w:ind w:left="851"/>
        <w:jc w:val="both"/>
        <w:rPr>
          <w:sz w:val="26"/>
          <w:szCs w:val="26"/>
        </w:rPr>
      </w:pPr>
    </w:p>
    <w:p w:rsidR="00AB5888" w:rsidRDefault="00AB5888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086585" w:rsidRPr="00417001" w:rsidRDefault="00D16979" w:rsidP="00D16979">
      <w:pPr>
        <w:ind w:left="851" w:hanging="284"/>
        <w:jc w:val="both"/>
        <w:rPr>
          <w:b/>
          <w:sz w:val="26"/>
          <w:szCs w:val="26"/>
        </w:rPr>
      </w:pPr>
      <w:r w:rsidRPr="00417001">
        <w:rPr>
          <w:b/>
          <w:sz w:val="26"/>
          <w:szCs w:val="26"/>
        </w:rPr>
        <w:lastRenderedPageBreak/>
        <w:t xml:space="preserve">3. Мероприятия по </w:t>
      </w:r>
      <w:r w:rsidR="00130090">
        <w:rPr>
          <w:b/>
          <w:sz w:val="26"/>
          <w:szCs w:val="26"/>
        </w:rPr>
        <w:t>приобретению техники и инвентаря</w:t>
      </w:r>
      <w:r w:rsidRPr="00417001">
        <w:rPr>
          <w:b/>
          <w:sz w:val="26"/>
          <w:szCs w:val="26"/>
        </w:rPr>
        <w:t>.</w:t>
      </w:r>
    </w:p>
    <w:p w:rsidR="00417001" w:rsidRDefault="00130090" w:rsidP="002361A8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</w:t>
      </w:r>
      <w:r w:rsidRPr="00417001">
        <w:rPr>
          <w:sz w:val="26"/>
          <w:szCs w:val="26"/>
        </w:rPr>
        <w:t>инвестици</w:t>
      </w:r>
      <w:r>
        <w:rPr>
          <w:sz w:val="26"/>
          <w:szCs w:val="26"/>
        </w:rPr>
        <w:t>онных проектов</w:t>
      </w:r>
      <w:r w:rsidRPr="0041700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своевременное обновление парка автотранспортных средств, </w:t>
      </w:r>
      <w:r w:rsidRPr="00130090">
        <w:rPr>
          <w:sz w:val="26"/>
          <w:szCs w:val="26"/>
        </w:rPr>
        <w:t>эксплуатационный срок которых составляет 5 и более лет, ввиду нерентабельности их ремонта (изношенность узлов и агрегатов)</w:t>
      </w:r>
      <w:r>
        <w:rPr>
          <w:sz w:val="26"/>
          <w:szCs w:val="26"/>
        </w:rPr>
        <w:t>.</w:t>
      </w:r>
      <w:r w:rsidRPr="00130090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130090">
        <w:rPr>
          <w:sz w:val="26"/>
          <w:szCs w:val="26"/>
        </w:rPr>
        <w:t xml:space="preserve">следствие </w:t>
      </w:r>
      <w:r>
        <w:rPr>
          <w:sz w:val="26"/>
          <w:szCs w:val="26"/>
        </w:rPr>
        <w:t>износа</w:t>
      </w:r>
      <w:r w:rsidRPr="00130090">
        <w:rPr>
          <w:sz w:val="26"/>
          <w:szCs w:val="26"/>
        </w:rPr>
        <w:t xml:space="preserve"> п</w:t>
      </w:r>
      <w:r w:rsidR="00D63BDD">
        <w:rPr>
          <w:sz w:val="26"/>
          <w:szCs w:val="26"/>
        </w:rPr>
        <w:t xml:space="preserve">роисходит </w:t>
      </w:r>
      <w:r w:rsidR="00EC56FD">
        <w:rPr>
          <w:sz w:val="26"/>
          <w:szCs w:val="26"/>
        </w:rPr>
        <w:t xml:space="preserve">увеличение </w:t>
      </w:r>
      <w:r w:rsidR="00D63BDD">
        <w:rPr>
          <w:sz w:val="26"/>
          <w:szCs w:val="26"/>
        </w:rPr>
        <w:t>затрат на замену механизмов и запасных частей, также возрастает</w:t>
      </w:r>
      <w:r w:rsidRPr="00130090">
        <w:rPr>
          <w:sz w:val="26"/>
          <w:szCs w:val="26"/>
        </w:rPr>
        <w:t xml:space="preserve"> количество ремонтов</w:t>
      </w:r>
      <w:r w:rsidR="00417001" w:rsidRPr="00417001">
        <w:rPr>
          <w:sz w:val="26"/>
          <w:szCs w:val="26"/>
        </w:rPr>
        <w:t xml:space="preserve">. </w:t>
      </w:r>
    </w:p>
    <w:p w:rsidR="009A28EC" w:rsidRPr="008240C5" w:rsidRDefault="009A28EC" w:rsidP="002361A8">
      <w:pPr>
        <w:jc w:val="both"/>
        <w:rPr>
          <w:sz w:val="26"/>
          <w:szCs w:val="26"/>
        </w:rPr>
      </w:pPr>
    </w:p>
    <w:p w:rsidR="008240C5" w:rsidRDefault="008240C5" w:rsidP="002361A8">
      <w:pPr>
        <w:jc w:val="both"/>
        <w:rPr>
          <w:sz w:val="26"/>
          <w:szCs w:val="26"/>
        </w:rPr>
      </w:pPr>
      <w:r w:rsidRPr="00672F7F">
        <w:rPr>
          <w:sz w:val="26"/>
          <w:szCs w:val="26"/>
        </w:rPr>
        <w:tab/>
      </w:r>
      <w:r>
        <w:rPr>
          <w:sz w:val="26"/>
          <w:szCs w:val="26"/>
        </w:rPr>
        <w:t>Поскольку АО «Петербургская сбытовая компания» является гарантирующим поставщиком электрической энергии на территории Санкт-Петербурга</w:t>
      </w:r>
      <w:r w:rsidR="00F240D4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Ленинградской области, распределение проектов, имеющих отношение к нескольким регионам присутствия, осуществляется пропорционально драйверу </w:t>
      </w:r>
      <w:r w:rsidR="00111E97">
        <w:rPr>
          <w:sz w:val="26"/>
          <w:szCs w:val="26"/>
        </w:rPr>
        <w:t>количества точек поставки потребителям электрической энергии.</w:t>
      </w:r>
    </w:p>
    <w:p w:rsidR="00AF3D93" w:rsidRDefault="00AF3D93" w:rsidP="002361A8">
      <w:pPr>
        <w:jc w:val="both"/>
        <w:rPr>
          <w:sz w:val="26"/>
          <w:szCs w:val="26"/>
        </w:rPr>
      </w:pPr>
    </w:p>
    <w:p w:rsidR="00AF3D93" w:rsidRDefault="00AF3D9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F3D93" w:rsidRDefault="00AF3D93" w:rsidP="002361A8">
      <w:pPr>
        <w:jc w:val="both"/>
        <w:rPr>
          <w:sz w:val="26"/>
          <w:szCs w:val="26"/>
        </w:rPr>
        <w:sectPr w:rsidR="00AF3D93" w:rsidSect="00152592">
          <w:pgSz w:w="12240" w:h="15840"/>
          <w:pgMar w:top="567" w:right="758" w:bottom="709" w:left="1418" w:header="709" w:footer="709" w:gutter="0"/>
          <w:cols w:space="708"/>
          <w:docGrid w:linePitch="360"/>
        </w:sectPr>
      </w:pPr>
    </w:p>
    <w:p w:rsidR="00AF3D93" w:rsidRDefault="00970A23" w:rsidP="002361A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соответствии с п. </w:t>
      </w:r>
      <w:r w:rsidR="005B325D">
        <w:rPr>
          <w:sz w:val="26"/>
          <w:szCs w:val="26"/>
        </w:rPr>
        <w:t>46</w:t>
      </w:r>
      <w:r>
        <w:rPr>
          <w:sz w:val="26"/>
          <w:szCs w:val="26"/>
        </w:rPr>
        <w:t xml:space="preserve"> «б» п</w:t>
      </w:r>
      <w:r w:rsidRPr="00970A23">
        <w:rPr>
          <w:sz w:val="26"/>
          <w:szCs w:val="26"/>
        </w:rPr>
        <w:t>остановлени</w:t>
      </w:r>
      <w:r>
        <w:rPr>
          <w:sz w:val="26"/>
          <w:szCs w:val="26"/>
        </w:rPr>
        <w:t>я</w:t>
      </w:r>
      <w:r w:rsidRPr="00970A23">
        <w:rPr>
          <w:sz w:val="26"/>
          <w:szCs w:val="26"/>
        </w:rPr>
        <w:t xml:space="preserve"> Прави</w:t>
      </w:r>
      <w:r w:rsidR="00EC56FD">
        <w:rPr>
          <w:sz w:val="26"/>
          <w:szCs w:val="26"/>
        </w:rPr>
        <w:t>тельства РФ от 21.01.2004 N 24</w:t>
      </w:r>
      <w:r w:rsidRPr="00970A23">
        <w:rPr>
          <w:sz w:val="26"/>
          <w:szCs w:val="26"/>
        </w:rPr>
        <w:t xml:space="preserve"> </w:t>
      </w:r>
      <w:r w:rsidR="005B325D">
        <w:rPr>
          <w:sz w:val="26"/>
          <w:szCs w:val="26"/>
        </w:rPr>
        <w:t>«</w:t>
      </w:r>
      <w:r w:rsidRPr="00970A23">
        <w:rPr>
          <w:sz w:val="26"/>
          <w:szCs w:val="26"/>
        </w:rPr>
        <w:t>Об утверждении стандартов раскрытия информации субъектами оптового и розничных рынков электрической энергии</w:t>
      </w:r>
      <w:r w:rsidR="005B325D">
        <w:rPr>
          <w:sz w:val="26"/>
          <w:szCs w:val="26"/>
        </w:rPr>
        <w:t>»</w:t>
      </w:r>
      <w:r>
        <w:rPr>
          <w:sz w:val="26"/>
          <w:szCs w:val="26"/>
        </w:rPr>
        <w:t xml:space="preserve"> раскрывается следующая информация:</w:t>
      </w:r>
    </w:p>
    <w:p w:rsidR="00AF3D93" w:rsidRDefault="00AF3D93" w:rsidP="002361A8">
      <w:pPr>
        <w:jc w:val="both"/>
        <w:rPr>
          <w:sz w:val="26"/>
          <w:szCs w:val="26"/>
        </w:rPr>
      </w:pPr>
    </w:p>
    <w:tbl>
      <w:tblPr>
        <w:tblW w:w="22735" w:type="dxa"/>
        <w:tblLook w:val="04A0" w:firstRow="1" w:lastRow="0" w:firstColumn="1" w:lastColumn="0" w:noHBand="0" w:noVBand="1"/>
      </w:tblPr>
      <w:tblGrid>
        <w:gridCol w:w="1132"/>
        <w:gridCol w:w="1810"/>
        <w:gridCol w:w="4283"/>
        <w:gridCol w:w="4394"/>
        <w:gridCol w:w="5928"/>
        <w:gridCol w:w="1585"/>
        <w:gridCol w:w="918"/>
        <w:gridCol w:w="1349"/>
        <w:gridCol w:w="1287"/>
        <w:gridCol w:w="49"/>
      </w:tblGrid>
      <w:tr w:rsidR="009B115D" w:rsidRPr="009B115D" w:rsidTr="009B115D">
        <w:trPr>
          <w:gridAfter w:val="1"/>
          <w:wAfter w:w="49" w:type="dxa"/>
          <w:trHeight w:val="76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код проекта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наименование проекта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цели проекта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обоснование необходимости реализации</w:t>
            </w:r>
          </w:p>
        </w:tc>
        <w:tc>
          <w:tcPr>
            <w:tcW w:w="5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характеристика объекта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место расположения объекта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полная стоимость проекта, млн руб. без НДС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срок ввода в эксплуатацию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энергетической эффективности оборудования</w:t>
            </w:r>
          </w:p>
        </w:tc>
      </w:tr>
      <w:tr w:rsidR="009B115D" w:rsidRPr="009B115D" w:rsidTr="009B115D">
        <w:trPr>
          <w:trHeight w:val="255"/>
        </w:trPr>
        <w:tc>
          <w:tcPr>
            <w:tcW w:w="22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B115D">
              <w:rPr>
                <w:b/>
                <w:bCs/>
                <w:color w:val="000000"/>
                <w:sz w:val="16"/>
                <w:szCs w:val="16"/>
              </w:rPr>
              <w:t>ИТ – мероприятия</w:t>
            </w:r>
          </w:p>
        </w:tc>
      </w:tr>
      <w:tr w:rsidR="009B115D" w:rsidRPr="009B115D" w:rsidTr="009B115D">
        <w:trPr>
          <w:gridAfter w:val="1"/>
          <w:wAfter w:w="49" w:type="dxa"/>
          <w:trHeight w:val="41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O_15.01.0084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коммутационного оборудования в 2024 году, объекты ОС 17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Повышение уровня надежности сети передачи данных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датацентра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центрального офиса ПСК.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В 2024 году ПСК планирует приобретение коммутационного оборудования для обеспечения расширения сети передачи данных в центральном офисе и внешнем дата-центре, ввиду приобретения нового серверного оборудования, в том числе в рамках опережающих закупок 2022-2023 года и изменения ландшафта программно-технических платформ для работы информационных систем.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По результатам анализа предлагаемых на рынке продуктов и из соображений совместимости с ранее приобретенным коммутационным оборудованием, принято решение о приобретении следующего коммутационного оборудования H3C (Китай) 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Eltex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(Россия, включено в реестр РЭП):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br/>
              <w:t>№/ Вендор /Модель/ Описание/ Кол-во/ Назначение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Eltex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MES2324P Коммутатор 24 порта, 4х10Gb,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9 Коммутатор уровня доступа, расширение сети в помещениях ЦО: клиентский зал, к. 321, офис Михайлова 10.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2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Eltex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MES2428P Коммутатор 24 порта, 4х1Gb,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4 Коммутатор уровня доступа, расширение сети в помещениях ЦО: к. 120, к. 148, к. 220.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3 FH-DP1T30SS01 Кабель DAC для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стекирования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коммутаторов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Eltex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9 -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4 FH-S8512CDL05 SFP 1,25 GE модуль 550м, MM, 2 волокна, 850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LC, DDM 8 -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5 H3C S6805-54HF H3C S6805-54HF L3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Switch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with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48 SFP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Plus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Ports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and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6 QSFP28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Ports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4 Коммутатор уровня ЦОД.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Для серверных стоек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Delta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OCP (3 шт. приобретены в 2022-2023гг.), необходимы для целевой схемы подключения серверного оборудования, не входили ранее в состав закупок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6 H3C PSR450-12A1 450W AC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Power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Supply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Module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Air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Outlets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in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Panel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10 -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7 H3C LSPM1FANSA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Switch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Fan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Module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Power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to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Port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Airflow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25 -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8 H3C QSFP-100G-D-CAB-1M 100G QSFP28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to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100G QSFP28 1m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Passive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Cable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4 -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9 H3C SFP-XG-SX-MM850-A SFP+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Module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(850nm, 300m, LC) 30 -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10 H3C QSFP-100G-SR4-MM850 QSFP28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Module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100G (850nm, 100m, OM4, SR4, MPO) 8 -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11 OM4, MPO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to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MPO, 50/125, MMF, 8-core, LSZH, 30m 4 -</w:t>
            </w:r>
            <w:r w:rsidRPr="009B115D">
              <w:rPr>
                <w:color w:val="000000"/>
                <w:sz w:val="16"/>
                <w:szCs w:val="16"/>
              </w:rPr>
              <w:br/>
              <w:t>12 H3C Электронный ключ активации технической поддержки NW-HFC-10-S6805-54HF-850-02-12, 8*5, 3Y, 36 месяцев 4 -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3,01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71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K_15.01.0264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серверного оборудования, объект ОС, 26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Целью IT-проекта является замена оборудования, выработавшего свой ресурс на новое, обладающее необходимым быстродействием и отказоустойчивостью в соответствии с Методикой МТ-185-1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Дальнейшее использование выведенного из эксплуатации оборудования в тестовых средах различных ИС Общества.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Серверное оборудование, используемое в промышленной системе виртуализации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OracleVM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в составе серверов (серийные №№ S40MH2N, S40MH2M) и СХД IBM V3700 (инв. № 346512) закуплено в 2017-м году.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Серверы АО «ПСК» в защищенном сегменте VMWARE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Vgate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находящиеся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датацентре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(серийные №№ CZJ6010FD3, S40EC8T, S40EC8R), закуплены в 2015-2017 годах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Необходима замена двух СХД в ЦО для резервного копирования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Hitachi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HUS110 (серийные №№ 91152363, 91152364), закуплены в 2013 году. Текущий объем полезного объема двух HUS110 составляет 140 ТБ на медленных дисках.  СХД IBM V3700 (серийный № 78A5883) была закуплена в 2017 году. Полезный объем составляет 47 ТБ на медленных дисках. Итого 187 ТБ.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Необходима замена FC-коммутаторов, закупленных в 2010г. и 2015г., в количестве 4 шт. В качестве замены предлагаются FC-коммутаторы IBM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Storage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Networking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SAN24B-6 (8960-F24) на 24 порта производительностью 16Gbps, которые будут установлены в ЦО.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Сервер фермы виртуализации АО «ПСК» на базе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VMware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находящиеся в центральном офисе (серийный № KD2X8VT), закуплен в 2013 году.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Серверы фермы виртуализации АО «ПСК» на базе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OracleVM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находящиеся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датацентре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(серийные №№ S404G5Z, S404G2T, S404G62), закуплены в 2016 году.</w:t>
            </w:r>
            <w:r w:rsidRPr="009B115D">
              <w:rPr>
                <w:color w:val="000000"/>
                <w:sz w:val="16"/>
                <w:szCs w:val="16"/>
              </w:rPr>
              <w:br/>
              <w:t>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Сервер фермы виртуализации АО «ПСК» на базе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VMware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находящиеся в центральном офисе (серийные №№ S4BBQ219, S4BBQ194 ), закуплены в 2019 году.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Серверы АО «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ПСК»  ИАС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, находящиеся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датацентре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(серийные №№ S4BBP414, S4BBP415 ), закуплены в 2019 году.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Замена СХД для резервного копирования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Датацентре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lastRenderedPageBreak/>
              <w:t>Lenovo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V3700 V2 XP+EXT с полкой расширения (серийный № 781L952 (2016 г.). Полезный объем составляет - 87ТБ.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Замена СХД промышленной фермы VMWARE в ЦО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Lenovo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V5030 (два контроллера + полка расширения, серийные №№ 781CL28(2018г.), 781CG24 (2018г.), 781KA50 (2019г.). Полезный объем составляет – 34 ТБ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К моменту реализации проекта, указанное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  <w:lang w:val="en-US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 xml:space="preserve">2021 год: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Сервер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Lenovo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Server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512GB:ThinkSystem SR630, 7X02CTO1WW (10013160/161121/0720288/16) - 8 шт.;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Сервер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Lenovo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Server1024GB: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ThinkSystem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SR630, 7X02CTO1WW (10013160/061121/0693888/31) - 1 шт.;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СХД IBM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FlashSystem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5035SFF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Control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Enclosure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2072- 3N4 (10013160/031121/0688317) - 1 шт.;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СХД IBM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FlashSystem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5015LFF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Control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Enclosure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2072- 2N2 (10013160/031121/0688317) - 1 шт.;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Коммутатор IBM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Storage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Networking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SAN24B-6, 8960-F24 (10013160/031121/0688317) - 4 шт.;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>2022 год: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Серверная стойка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Delta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Computers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- 1шт. в составе: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1.1 2U OCP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Tioga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Pass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Server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w/(2) 2.5" 7mm SSD + (2) FHHL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x16 (CHASSIS)-30шт.;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1.2. 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>Intel Xeon Gold 6240R (24 Core 2.4GHz Cache 35.75 MB) (CPU) - 60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1.3. 64GB RDIMM DDR4 2666MHz (RAM) - 480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1.4. 480GB SATA SSD 2.5" (SSD) - 60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1.5. 25Gbps SFP28 LAN Adapter (Quad-Port) (LAN) - 30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 xml:space="preserve">1.6. 16Gbps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Fibre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Channel Adapter (Dual-Port) w/Transceivers (FC) - 30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1.7. 10G SR SFP+ Transceiver (Transceiver) - 120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1.8. OCP Server Open Rack (Rack) - 1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1.9. Power Shelf (15 kW, N+1, 1 Power Input) (Power Shelf) - 1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1.10. Switch Shelf 1OU (Switch Shelf) -3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1.11. Cubby Chassis Kit (Cubby) - 1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1.12. Airflow Optimizer Kit (Cover) -1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Комплект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модернизации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1</w:t>
            </w:r>
            <w:r w:rsidRPr="009B115D">
              <w:rPr>
                <w:color w:val="000000"/>
                <w:sz w:val="16"/>
                <w:szCs w:val="16"/>
              </w:rPr>
              <w:t>х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Power Shelf (15 kW, N+1, 2 Power Inputs)/2</w:t>
            </w:r>
            <w:r w:rsidRPr="009B115D">
              <w:rPr>
                <w:color w:val="000000"/>
                <w:sz w:val="16"/>
                <w:szCs w:val="16"/>
              </w:rPr>
              <w:t>х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C13 Connector Pack/7</w:t>
            </w:r>
            <w:r w:rsidRPr="009B115D">
              <w:rPr>
                <w:color w:val="000000"/>
                <w:sz w:val="16"/>
                <w:szCs w:val="16"/>
              </w:rPr>
              <w:t>х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Switch Shelf 1OU (DCOCP_UGR)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>Ethernet-</w:t>
            </w:r>
            <w:r w:rsidRPr="009B115D">
              <w:rPr>
                <w:color w:val="000000"/>
                <w:sz w:val="16"/>
                <w:szCs w:val="16"/>
              </w:rPr>
              <w:t>коммутатор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MES5448, 48 </w:t>
            </w:r>
            <w:r w:rsidRPr="009B115D">
              <w:rPr>
                <w:color w:val="000000"/>
                <w:sz w:val="16"/>
                <w:szCs w:val="16"/>
              </w:rPr>
              <w:t>портов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10G Base-R, 4 </w:t>
            </w:r>
            <w:r w:rsidRPr="009B115D">
              <w:rPr>
                <w:color w:val="000000"/>
                <w:sz w:val="16"/>
                <w:szCs w:val="16"/>
              </w:rPr>
              <w:t>порта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40G(QSFP), </w:t>
            </w:r>
            <w:r w:rsidRPr="009B115D">
              <w:rPr>
                <w:color w:val="000000"/>
                <w:sz w:val="16"/>
                <w:szCs w:val="16"/>
              </w:rPr>
              <w:t>коммутатор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L3, 2 </w:t>
            </w:r>
            <w:r w:rsidRPr="009B115D">
              <w:rPr>
                <w:color w:val="000000"/>
                <w:sz w:val="16"/>
                <w:szCs w:val="16"/>
              </w:rPr>
              <w:t>слота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для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модулей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питания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(MES5448) - 4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Коммутатор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Dell CTX DS-6610B 24P/24P switch Full Fabric w/rear-to-front airflow (includes 24x16G SFPs + rack kit/ 3Yr PS NBD (210-AZEV_MO_KZ) - 4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Система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хранения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данных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LENOVO DE Controller DE4000H2U24 SFF, 6x800GB SSD, 18x1.8TB 10000, SW RD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 xml:space="preserve">2023 </w:t>
            </w:r>
            <w:r w:rsidRPr="009B115D">
              <w:rPr>
                <w:color w:val="000000"/>
                <w:sz w:val="16"/>
                <w:szCs w:val="16"/>
              </w:rPr>
              <w:t>год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>: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Аппаратный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комплекс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Delta OCP (DCOCPTPS39S0PSM107)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Сервер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f+ data H2K288G5 </w:t>
            </w:r>
            <w:r w:rsidRPr="009B115D">
              <w:rPr>
                <w:color w:val="000000"/>
                <w:sz w:val="16"/>
                <w:szCs w:val="16"/>
              </w:rPr>
              <w:t>в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составе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: 2U8x2,5" HDD platform 2xintel Xeon Gold 5220R 24C 2.2GHz 16x32GB - 10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Твердотельный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накопитель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Samsung SSD PM1735, 12800GB, HHHL,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NVMe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, PCIe 4.0 x8, V-NAND, R/W 8000/3800MB/s, IOPs 1 500 000/250 000, TBW 70080, DWPD 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lastRenderedPageBreak/>
              <w:t xml:space="preserve">3 (MZPLJ12 THALA00007) - 2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Коммутатор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BROCADE G620 FC 48 ports enabled 32Gb/s (32Gb Transceivers included) (BRCDG62 0/48/32G) - 2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Коммутатор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BROCADE G620 FC 48 ports enabled 32Gb/s (32Gb Transceivers included) (BRCDG62 0/48/32G) - 2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 xml:space="preserve">2024 </w:t>
            </w:r>
            <w:r w:rsidRPr="009B115D">
              <w:rPr>
                <w:color w:val="000000"/>
                <w:sz w:val="16"/>
                <w:szCs w:val="16"/>
              </w:rPr>
              <w:t>год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: </w:t>
            </w:r>
            <w:r w:rsidRPr="009B115D">
              <w:rPr>
                <w:color w:val="000000"/>
                <w:sz w:val="16"/>
                <w:szCs w:val="16"/>
              </w:rPr>
              <w:t>Сервер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ThinkSystem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SR630 </w:t>
            </w:r>
            <w:r w:rsidRPr="009B115D">
              <w:rPr>
                <w:color w:val="000000"/>
                <w:sz w:val="16"/>
                <w:szCs w:val="16"/>
              </w:rPr>
              <w:t>стандартная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конфигурация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- 4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СХД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FlashSystem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5030 LFF Control Enclosure (</w:t>
            </w:r>
            <w:r w:rsidRPr="009B115D">
              <w:rPr>
                <w:color w:val="000000"/>
                <w:sz w:val="16"/>
                <w:szCs w:val="16"/>
              </w:rPr>
              <w:t>контроллер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тип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1)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СХД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IBM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FlashSystem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5000 LFF Expansion (</w:t>
            </w:r>
            <w:r w:rsidRPr="009B115D">
              <w:rPr>
                <w:color w:val="000000"/>
                <w:sz w:val="16"/>
                <w:szCs w:val="16"/>
              </w:rPr>
              <w:t>полка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расширения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тип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1)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СХД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FlashSystem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5030 LFF Control Enclosure (</w:t>
            </w:r>
            <w:r w:rsidRPr="009B115D">
              <w:rPr>
                <w:color w:val="000000"/>
                <w:sz w:val="16"/>
                <w:szCs w:val="16"/>
              </w:rPr>
              <w:t>контроллер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тип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2)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.;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СХД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IBM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FlashSystem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5000 LFF Expansion (</w:t>
            </w:r>
            <w:r w:rsidRPr="009B115D">
              <w:rPr>
                <w:color w:val="000000"/>
                <w:sz w:val="16"/>
                <w:szCs w:val="16"/>
              </w:rPr>
              <w:t>полка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расширения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тип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2)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47,15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649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K_15.01.0265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персональных компьютеров в 2024 году, 240 штук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 приобретения состоит в оснащении рабочих мест пользователей персональными компьютерами, конфигурация которых отвечает системным требованиям современного программного обеспечения, используемого в АО «Петербургская сбытовая компания» и соответствует положениям «Инструкции по обеспечению работников АО «Петербургская сбытовая компания» ИТ-оборудованием и ПО».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 в АО «Петербургская сбытовая компания» на рабочих местах сотрудников используется значительное число персональных компьютеров (ПК), введенных в эксплуатацию до 2014 года и не соответствующих требованиям «Инструкции по обеспечению работников АО «Петербургская сбытовая компания» ИТ-оборудованием и ПО». Данные персональные компьютеры требуют замены. Приобретение современных персональных компьютеров необходимо для своевременной модернизации и оснащения рабочих мест сотрудников АО «Петербургская сбытовая компания». 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качестве АРМ, предполагается к приобретению Программно-аппаратный комплекс в составе: ПК Гравитон Д12И на базе процессора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Intel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не ниже 10-го поколения, оснащенный оперативной памятью в размере 8 ГБ (не менее DDR4 2666 (2 слота, максимальный объем 32 ГБ)), с установленным жестким диском не менее 256 ГБ (SSD), встроенным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Intel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HD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Graphics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графическим адаптером, встроенным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Gigabit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сетевым, HD аудио-адаптером. Комплект поставки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bundle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включает в себя блок питания, VESA-крепление, проводные USB клавиатуру и оптическую мышь, монитор 23.8"с разрешением не менее 1920х1080.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АРМ поставляются без операционной системы. В рамках импортозамещения планируется установка отечественной ОС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ее приобретение планируется в рамках отдельного инвестиционного проекта ввиду необходимости замены ОС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Windows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всем парке АРМ.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4,62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04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L_15.01.0295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«CRM юридических лиц» в 2024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115D">
              <w:rPr>
                <w:color w:val="000000"/>
                <w:sz w:val="16"/>
                <w:szCs w:val="16"/>
              </w:rPr>
              <w:br/>
              <w:t>- обеспечения электронного документооборота в рамках работы с клиентами на базе CRM;</w:t>
            </w:r>
            <w:r w:rsidRPr="009B115D">
              <w:rPr>
                <w:color w:val="000000"/>
                <w:sz w:val="16"/>
                <w:szCs w:val="16"/>
              </w:rPr>
              <w:br/>
              <w:t>- настройки глубокого анализа данных о клиентской базе компании;</w:t>
            </w:r>
            <w:r w:rsidRPr="009B115D">
              <w:rPr>
                <w:color w:val="000000"/>
                <w:sz w:val="16"/>
                <w:szCs w:val="16"/>
              </w:rPr>
              <w:br/>
              <w:t>- упрощение информационного взаимодействия между Обществом и конечным клиентом;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2019 году были проведены работы по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проекту  для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создания и внедрения системы «CRM юридических лиц». В 2020 году автоматизирована часть основных бизнес-процессов взаимодействия с клиентами Общества.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управления взаимоотношениями с клиентами (CRM, сокращение от англ.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Customer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Relationship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Management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5,58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04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O_15.25.0295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«CRM юридических лиц» в 2025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115D">
              <w:rPr>
                <w:color w:val="000000"/>
                <w:sz w:val="16"/>
                <w:szCs w:val="16"/>
              </w:rPr>
              <w:br/>
              <w:t>- обеспечения электронного документооборота в рамках работы с клиентами на базе CRM;</w:t>
            </w:r>
            <w:r w:rsidRPr="009B115D">
              <w:rPr>
                <w:color w:val="000000"/>
                <w:sz w:val="16"/>
                <w:szCs w:val="16"/>
              </w:rPr>
              <w:br/>
              <w:t>- настройки глубокого анализа данных о клиентской базе компании;</w:t>
            </w:r>
            <w:r w:rsidRPr="009B115D">
              <w:rPr>
                <w:color w:val="000000"/>
                <w:sz w:val="16"/>
                <w:szCs w:val="16"/>
              </w:rPr>
              <w:br/>
              <w:t>- упрощение информационного взаимодействия между Обществом и конечным клиентом;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2019 году были проведены работы по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проекту  для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создания и внедрения системы «CRM юридических лиц». В 2020 году автоматизирована часть основных бизнес-процессов взаимодействия с клиентами Общества.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управления взаимоотношениями с клиентами (CRM, сокращение от англ.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Customer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Relationship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Management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5,74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324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O_15.26.0295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«CRM юридических лиц» в 2026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115D">
              <w:rPr>
                <w:color w:val="000000"/>
                <w:sz w:val="16"/>
                <w:szCs w:val="16"/>
              </w:rPr>
              <w:br/>
              <w:t>- обеспечения электронного документооборота в рамках работы с клиентами на базе CRM;</w:t>
            </w:r>
            <w:r w:rsidRPr="009B115D">
              <w:rPr>
                <w:color w:val="000000"/>
                <w:sz w:val="16"/>
                <w:szCs w:val="16"/>
              </w:rPr>
              <w:br/>
              <w:t>- настройки глубокого анализа данных о клиентской базе компании;</w:t>
            </w:r>
            <w:r w:rsidRPr="009B115D">
              <w:rPr>
                <w:color w:val="000000"/>
                <w:sz w:val="16"/>
                <w:szCs w:val="16"/>
              </w:rPr>
              <w:br/>
              <w:t>- упрощение информационного взаимодействия между Обществом и конечным клиентом;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2019 году были проведены работы по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проекту  для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создания и внедрения системы «CRM юридических лиц». В 2020 году автоматизирована часть основных бизнес-процессов взаимодействия с клиентами Общества.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управления взаимоотношениями с клиентами (CRM, сокращение от англ.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Customer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Relationship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Management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5,96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3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O_15.27.0295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«CRM юридических лиц» в 2027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развития системы «CRM юридических лиц» является расширение ее функциональных возможностей в части: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- повышения эффективности работы сотрудников и сокращения времени на обработку обращений клиентов за счет автоматизации основных бизнес-процессов;</w:t>
            </w:r>
            <w:r w:rsidRPr="009B115D">
              <w:rPr>
                <w:color w:val="000000"/>
                <w:sz w:val="16"/>
                <w:szCs w:val="16"/>
              </w:rPr>
              <w:br/>
              <w:t>- обеспечения электронного документооборота в рамках работы с клиентами на базе CRM;</w:t>
            </w:r>
            <w:r w:rsidRPr="009B115D">
              <w:rPr>
                <w:color w:val="000000"/>
                <w:sz w:val="16"/>
                <w:szCs w:val="16"/>
              </w:rPr>
              <w:br/>
              <w:t>- настройки глубокого анализа данных о клиентской базе компании;</w:t>
            </w:r>
            <w:r w:rsidRPr="009B115D">
              <w:rPr>
                <w:color w:val="000000"/>
                <w:sz w:val="16"/>
                <w:szCs w:val="16"/>
              </w:rPr>
              <w:br/>
              <w:t>- упрощение информационного взаимодействия между Обществом и конечным клиентом;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- реализации поиска статистических закономерностей в данных для выработки наиболее эффективной стратегии маркетинга, продаж, обслуживания клиентов и т.п.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2019 году были проведены работы по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проекту  для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создания и внедрения системы «CRM юридических лиц». В 2020 году автоматизирована часть основных бизнес-процессов взаимодействия с клиентами Общества.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управления взаимоотношениями с клиентами (CRM, сокращение от англ.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Customer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Relationship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Management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представляет собой информационную систему, предназначенную для автоматизации стратегий взаимодействия с конечными клиентами или сторонними поставщиками услуг, в частности для повышения уровня продаж, оптимизации маркетинга 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6,18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1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L_15.01.0296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«Единый биллинг юридических лиц.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конфигурация» в 2024 году, (объект НМА, 1 шт.)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в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течение  2024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4,49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53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O_15.25.0296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«Единый биллинг юридических лиц.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конфигурация» в 2025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c 2024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4,61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53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O_15.26.0296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«Единый биллинг юридических лиц.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конфигурация» в 2026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c 2024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4,79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53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O_15.27.0296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системы «Единый биллинг юридических лиц.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конфигурация» в 2027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модернизации Системы является расширение функциональных возможностей системы в соответствие с изменениями федерального и регионального законодательства c 2024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Единой биллинговой системе для расчетов с юридическими лицами,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 (далее – Системе) находится весь объем договоров АО «Петербургская сбытовая компания».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Объект и область применения автоматизации: Система – предназначена для автоматизации бизнес-процессов сбытовой деятельности компании в части биллинга юридических лиц.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В случае отказа от реализации данного проекта возникнут риски не работоспособности Системы, корректного процесса начислений.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4,97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52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L_15.01.0311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Создание системы комплексной информационной безопасности, объекты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ОС  2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шт. и  НМА 6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рамках реализации Проекта осуществляется создание системы информационной безопасности Общества на основе реализации типовых организационных и технических решений.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В 2019 году в Группе компаний «Интер РАО» была утверждена и в 2019-2020 годах успешно реализована «Программа развития информационной безопасности компаний Группы «Интер РАО». Первоочередные мероприятия на 2020 г.» (Далее – Программа ИБ 2020).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В рамках Программы ИБ 2020 были сформированы типовые технические решения и оформлены в виде комплекта документов.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На основе разработанных типовых технических решений в рамках Программы ИБ 2021-2025, компаниям Группы рекомендовано осуществить реализацию мероприятий Программы с учетом результатов работ по разработке типовых технических проектов системы защиты персональных данных, типовых ВНД и технических решений для защиты объектов критической информационной инфраструктуры, типовых технических решений для защиты информации с использованием средств криптографической защиты каналов связи а также технических решений по созданию центра противодействия кибератакам, выполненных для ПАО «Интер РАО», при модернизации и техническом перевооружении существующих, а также при планировании и проектировании вновь создаваемых информационных и автоматизированных систем и систем информационной безопасности в качестве материалов технической стандартизации.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рамках Проекта в АО «Петербургская сбытовая компания» предполагается реализация системы комплексной информационной безопасности, состоящей из следующих подсистем информационной безопасности: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Подсистема охвата средствами ЦПК, включающая комплексы 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сбора, анализа и корреляции событий безопасности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средств автоматизации реагирования на инциденты ИБ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анализа защищенности инфраструктуры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анализа трафика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веб-приложений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анализа защищённости информационных ресурсов;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Подсистема централизованной антивирусной защиты информации на базе комплекса антивирусной защиты;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Подсистема защиты систем обработки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ПДн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включающая комплексы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антивирусной защиты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межсетевого экранирования и обнаружения вторжений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от атак нулевого дня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электронной почтовых ящиков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веб-приложений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АРМ пользователей (в т.ч. сервера)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среды виртуализации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криптографической защиты информации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сбора и анализа событий безопасности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анализа защищенности</w:t>
            </w:r>
            <w:r w:rsidRPr="009B115D">
              <w:rPr>
                <w:color w:val="000000"/>
                <w:sz w:val="16"/>
                <w:szCs w:val="16"/>
              </w:rPr>
              <w:br/>
              <w:t>• Подсистема защиты информационного обмена между Обществом и компаниями Группы;</w:t>
            </w:r>
            <w:r w:rsidRPr="009B115D">
              <w:rPr>
                <w:color w:val="000000"/>
                <w:sz w:val="16"/>
                <w:szCs w:val="16"/>
              </w:rPr>
              <w:br/>
              <w:t>• Подсистема обеспечения безопасности ОКИИ, включающая комплексы: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контроля доступа пользователей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контроля целостности и защиты от НСД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защиты от атак нулевого дня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криптографической защиты информации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сбора, анализа и корреляции событий безопасности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централизованного управления информационной безопасностью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анализа защищенности инфраструктуры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антивирусной защиты для технологического сегмента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антивирусной защиты для корпоративного сегмента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резервного копирования информационных ресурсов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обнаружения вторжений в сегментах ОКИИ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межсетевого экранирования</w:t>
            </w:r>
            <w:r w:rsidRPr="009B115D">
              <w:rPr>
                <w:color w:val="000000"/>
                <w:sz w:val="16"/>
                <w:szCs w:val="16"/>
              </w:rPr>
              <w:br/>
              <w:t>§ Комплекс обеспечения однонаправленной передачи данных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12,15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83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N_15.01.0390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Развитие каналов взаимодействия с клиентами в 2024 году,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Ключевые параметры экосистемы: </w:t>
            </w:r>
            <w:r w:rsidRPr="009B115D">
              <w:rPr>
                <w:color w:val="000000"/>
                <w:sz w:val="16"/>
                <w:szCs w:val="16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115D">
              <w:rPr>
                <w:color w:val="000000"/>
                <w:sz w:val="16"/>
                <w:szCs w:val="16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115D">
              <w:rPr>
                <w:color w:val="000000"/>
                <w:sz w:val="16"/>
                <w:szCs w:val="16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115D">
              <w:rPr>
                <w:color w:val="000000"/>
                <w:sz w:val="16"/>
                <w:szCs w:val="16"/>
              </w:rPr>
              <w:br/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Только несколько компаний имеют мобильное приложение (далее - МП).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115D">
              <w:rPr>
                <w:color w:val="000000"/>
                <w:sz w:val="16"/>
                <w:szCs w:val="16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3,18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537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O_15.25.0390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Развитие каналов взаимодействия с клиентами в 2025 году,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Ключевые параметры экосистемы: </w:t>
            </w:r>
            <w:r w:rsidRPr="009B115D">
              <w:rPr>
                <w:color w:val="000000"/>
                <w:sz w:val="16"/>
                <w:szCs w:val="16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115D">
              <w:rPr>
                <w:color w:val="000000"/>
                <w:sz w:val="16"/>
                <w:szCs w:val="16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115D">
              <w:rPr>
                <w:color w:val="000000"/>
                <w:sz w:val="16"/>
                <w:szCs w:val="16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115D">
              <w:rPr>
                <w:color w:val="000000"/>
                <w:sz w:val="16"/>
                <w:szCs w:val="16"/>
              </w:rPr>
              <w:br/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Только несколько компаний имеют мобильное приложение (далее - МП).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115D">
              <w:rPr>
                <w:color w:val="000000"/>
                <w:sz w:val="16"/>
                <w:szCs w:val="16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1,95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313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O_15.26.0390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Развитие каналов взаимодействия с клиентами в 2026 году,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Ключевые параметры экосистемы: </w:t>
            </w:r>
            <w:r w:rsidRPr="009B115D">
              <w:rPr>
                <w:color w:val="000000"/>
                <w:sz w:val="16"/>
                <w:szCs w:val="16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115D">
              <w:rPr>
                <w:color w:val="000000"/>
                <w:sz w:val="16"/>
                <w:szCs w:val="16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115D">
              <w:rPr>
                <w:color w:val="000000"/>
                <w:sz w:val="16"/>
                <w:szCs w:val="16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115D">
              <w:rPr>
                <w:color w:val="000000"/>
                <w:sz w:val="16"/>
                <w:szCs w:val="16"/>
              </w:rPr>
              <w:br/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Только несколько компаний имеют мобильное приложение (далее - МП).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115D">
              <w:rPr>
                <w:color w:val="000000"/>
                <w:sz w:val="16"/>
                <w:szCs w:val="16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2,02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38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O_15.27.0390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Развитие каналов взаимодействия с клиентами в 2027 году,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существующего нематериального актива в виде ЛКК, сайта и других имеющихся цифровых каналов, охватывающих все точки онлайн-взаимодействия с клиентом Группы, поддерживающей единый подход к взаимодействию с клиентами в части дизайна, сценариев взаимодействия, функционала и клиентского опыта.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Ключевые параметры экосистемы: </w:t>
            </w:r>
            <w:r w:rsidRPr="009B115D">
              <w:rPr>
                <w:color w:val="000000"/>
                <w:sz w:val="16"/>
                <w:szCs w:val="16"/>
              </w:rPr>
              <w:br/>
              <w:t>• максимально возможный набор сервисов с удобным интерфейсом и решением всех вопросов в «одном окне»,</w:t>
            </w:r>
            <w:r w:rsidRPr="009B115D">
              <w:rPr>
                <w:color w:val="000000"/>
                <w:sz w:val="16"/>
                <w:szCs w:val="16"/>
              </w:rPr>
              <w:br/>
              <w:t>• формирование у клиента привычки использования сервисов компании, частота использования онлайн сервиса компании (в идеале ежедневный контакт),</w:t>
            </w:r>
            <w:r w:rsidRPr="009B115D">
              <w:rPr>
                <w:color w:val="000000"/>
                <w:sz w:val="16"/>
                <w:szCs w:val="16"/>
              </w:rPr>
              <w:br/>
              <w:t>• привыкание к интерфейсу экосистемы, нежелание клиента уходить в онлайн канал другой компании.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Например, уже сейчас почти 80% клиентов ЭСК и ЕИРЦ выбирают каналы сторонних компаний (внешних платёжных агентов) для оплаты счетов за электроэнергию, при этом 42% всех оплат за электроэнергию идёт через ПАО «Сбербанк». Стратегическая задача – создать свою экосистему с уникальным торговым предложением (далее - УТП), сформировать свою стабильную клиентскую базу. В рамках перехода АО «ПСК» на единую Платформу будут осуществлены работы по развитию систем, относящихся к цифровым каналам взаимодействия с клиентами: личные кабинеты физических и юридических лиц (веб-версии и мобильные приложения), сайт Общества. </w:t>
            </w:r>
            <w:r w:rsidRPr="009B115D">
              <w:rPr>
                <w:color w:val="000000"/>
                <w:sz w:val="16"/>
                <w:szCs w:val="16"/>
              </w:rPr>
              <w:br/>
              <w:t>Анализ внутренней среды, внутренние предпосылки проекта.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1. Нет единого стандартизированного решения для ЭСК и ЕИРЦ;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В некоторых ДО в текущих версиях личного кабинета (далее – ЛКК) отсутствует базовый функционал (заказ услуги КС, подписка на эл. счёт,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автоплатеж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управление подпиской смс, мессенджеры и т.п.); </w:t>
            </w:r>
            <w:r w:rsidRPr="009B115D">
              <w:rPr>
                <w:color w:val="000000"/>
                <w:sz w:val="16"/>
                <w:szCs w:val="16"/>
              </w:rPr>
              <w:br/>
              <w:t>• Только несколько компаний имеют мобильное приложение (далее - МП).</w:t>
            </w:r>
            <w:r w:rsidRPr="009B115D">
              <w:rPr>
                <w:color w:val="000000"/>
                <w:sz w:val="16"/>
                <w:szCs w:val="16"/>
              </w:rPr>
              <w:br/>
              <w:t>• Нет единой платформы. В каждом регионе функциональность развивается отдельно со своим собственным набором технологий. При этом, функционал средств взаимодействия с пользователями в различных ДО не объединён между собой, что затрудняет проведение кампаний и исследований по всей клиентской базе одновременно, а также затрудняет получение общей картины клиентской базы по Группе, а дублирование разработок функционала и необходимость интеграции со множеством локальных ИТ-систем и их отдельных экземпляров различных ДО существенно увеличивает стоимость проектов и сроки реализации проектов.</w:t>
            </w:r>
            <w:r w:rsidRPr="009B115D">
              <w:rPr>
                <w:color w:val="000000"/>
                <w:sz w:val="16"/>
                <w:szCs w:val="16"/>
              </w:rPr>
              <w:br/>
              <w:t>• Отсутствует механизм централизованного управления цифровыми каналами ДО в части аналитики и проведения централизованных маркетинговых мероприятий, а также оперативного внедрения нового функционала в качестве реакции на внешние вызовы (изменения законодательства, рыночные вызовы).</w:t>
            </w:r>
            <w:r w:rsidRPr="009B115D">
              <w:rPr>
                <w:color w:val="000000"/>
                <w:sz w:val="16"/>
                <w:szCs w:val="16"/>
              </w:rPr>
              <w:br/>
              <w:t>2. Клиентские сервисы в ЭСК и ЕИРЦ проектировались с учётом требований множества бизнес-заказчиков, без глубокого анализа пожеланий клиента.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2,10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N_15.01.0393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объединенного контактного центра, НМА 3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 приобретения – обеспечение единых стандартов обслуживания клиентов в рамках функционирования ОКЦ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Во исполнение п. 2.3 Протокола заседания Рабочей группы по реализации инициатив стратегии развития розничного бизнеса 2020-2025гг. от 29.06.2021 №МА/ОД/8 и корпоративного письма Блока розничного бизнеса от 08.08.2022 №ИН/КП/ОД/103  необходимо приобрести набор лицензий на программное обеспечение для обеспечения перехода АО «ПСК» на работу в составе объединенного контактного центра (ОКЦ) Группы ПАО Интер РАО.</w:t>
            </w:r>
            <w:r w:rsidRPr="009B115D">
              <w:rPr>
                <w:color w:val="000000"/>
                <w:sz w:val="16"/>
                <w:szCs w:val="16"/>
              </w:rPr>
              <w:br/>
              <w:t>Первый этап приобретения лицензий запланирован на 2023 год, данный проект является расширением.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в количестве 450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1,09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82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O_15.24.0397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средств криптографической защиты информации в 2024 году, объект НМА, 5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 приобретения – исполнение требований законодательства в части использования сертифицированных СКЗИ при организации защищенного удаленного доступа и при работе с электронными подписями.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Для создания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криптозащищенной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виртуальной сети в АО «Петербургская сбытовая компания» для безопасного соединения через Интернет и организации защищенного удаленного доступа к ресурсам центрального офиса, ЦОД и отделений в системе информационной безопасности Общества должно присутствовать сертифицированное </w:t>
            </w:r>
            <w:r w:rsidRPr="009B115D">
              <w:rPr>
                <w:color w:val="000000"/>
                <w:sz w:val="16"/>
                <w:szCs w:val="16"/>
              </w:rPr>
              <w:br/>
              <w:t>по требованиям ФСБ средство криптографической защиты (СКЗИ). Необходимость приобретения СКЗИ обеспечивается требованиями Федерального закона от 27.07.2006 N 152-ФЗ "О персональных данных" и другими нормативно-правовыми актами РФ.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Для Группы компаний ИНТЕР РАО функционирует сеть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ViPNet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ViPNet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Network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Security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) №12112, для подключения к которой и планируется закупка клиентского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Vipnet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а именно дополнительных лицензий и годовых сертификатов технической поддержки, в дополнение к закупленным в 2022 году.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СКЗИ «КриптоПро CSP» предназначено для работы с квалифицированным сертификатом ключа проверки электронной подписи (ЭП), использование сертифицированных СКЗИ на рабочих местах является обязательным условием формирования усиленной квалифицированной ЭП. Закупка проводится в связи с постепенным увеличением числа владельцев ЭП в Обществе. 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ПО/ Кол-во/ Назначение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ViPNet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Client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4u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for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(КС2)   150 шт. Для сети ИРИТ 12112 (увеличение числа АРМ)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ViPNet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StateWatcher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1 узел мониторинга   155 шт. По количеству клиентов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ViPNet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PolicyManager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1 узел управления    155 шт.  По количеству клиентов</w:t>
            </w:r>
            <w:r w:rsidRPr="009B115D">
              <w:rPr>
                <w:color w:val="000000"/>
                <w:sz w:val="16"/>
                <w:szCs w:val="16"/>
              </w:rPr>
              <w:br/>
              <w:t>СКЗИ "КриптоПро CSP" версии 5.0 на одном рабочем месте    150 шт. Обеспечение соответствующей требованиям регуляторов криптографической защиты ЭЦП. Приобретение бессрочных лицензий в связи с истечением срока ранее приобретенных годовых, в т.ч. поставленных в составе ключа ЭЦП, а также в связи с общим увеличением числа пользователей с ЭЦП.</w:t>
            </w:r>
            <w:r w:rsidRPr="009B115D">
              <w:rPr>
                <w:color w:val="000000"/>
                <w:sz w:val="16"/>
                <w:szCs w:val="16"/>
              </w:rPr>
              <w:br/>
              <w:t>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КриптоАРМ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Стандарт Плюс» версии 5 на одном рабочем месте    20 шт.  Формирование защищенных средствами криптографии документов по требованиям государственных органов (необходимость работы с открепленной подписью)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0,33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73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O_15.01.0400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лицензий на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импортозамещенное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программное обеспечение для организации рабочих мест, объект НМА 2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Перевод пользовательских операционных систем и офисных пакетов на программное обеспечение отечественной разработки.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Операционная система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является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отечественной разработкой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построенной на базе ядра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внедряется в качестве альтернативы иностранной ОС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Microsoft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Windows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которая в настоящее время используется Обществом. Лицензии офисного пакета Р7-Офис приобретаются для замены иностранного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програмного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обеспечения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Microsoft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Office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Проект по переходу на ОС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Р7-Офис был начат в 2022 году, к настоящему моменту приобретено по 600 лицензий данных программных продуктов. В 2024 году планируется приобрести дополнительно 1200 и 900 лицензий соответственно, таким образом по итогам года общее число составит 1800 лицензий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1500 Р7-Офис, что составляет 100% потребности Общества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ПО для организации рабочих мест, исходя из штатной численности и общего парка техники, с учетом выданной для удаленной работы.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Лицензия на ОС 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» - 1 200 шт.;</w:t>
            </w:r>
            <w:r w:rsidRPr="009B115D">
              <w:rPr>
                <w:color w:val="000000"/>
                <w:sz w:val="16"/>
                <w:szCs w:val="16"/>
              </w:rPr>
              <w:br/>
              <w:t>Лицензия P7-Офис. Профессиональный - 900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7,12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O_15.01.0401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системы финансово-экономического управления,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АО «Петербургская сбытовая компания» права использования системы ФЭУ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 начала 2020 года в АО «Петербургская сбытовая компания» реализуется ввод в эксплуатацию типовой тиражной системы финансово-экономического управления в сегментах «Сбыт» и «Прочие» на базе 1С (далее - ФЭУ). Проект является централизованным проектом ПАО «Интер РАО». АО «Петербургская сбытовая компания» выступило компанией-пилотом сегмента «Сбыт». Система ФЭУ позволяет централизованно управлять корпоративной методологией бухгалтерского, налогового учета и учета по МСФО, бюджетного управления, а также повысить качество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  Основой данного проекта является централизованная автоматизация процессов ведения бухгалтерского и налогового учета, подготовки отчетности и процессов передачи данных в консолидационные пакеты и бизнес-планы компаний Группы позволит минимизировать риски нарушения качества бухгалтерской и налоговой отчетности и информации бизнес-планов компаний Группы.</w:t>
            </w:r>
            <w:r w:rsidRPr="009B115D">
              <w:rPr>
                <w:color w:val="000000"/>
                <w:sz w:val="16"/>
                <w:szCs w:val="16"/>
              </w:rPr>
              <w:br/>
              <w:t>Принятые в Группе корпоративные решения предусматривают продажу компаниям Группы лицензий ФЭУ с 2023 года на трехлетний срок, в 2026 году потребуется продление лицензий.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Лицензий сроком на 3 года (с 01.07.2026 по 30.06.2029) - 223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14,11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2028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O_15.01.0410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лицензии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импортозамещенной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системы управления базами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данных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Целью проекта является обеспечение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импортонезависимости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бесперебойного функционирования информационных систем на базе отечественной СУБД.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время, в инфраструктуре и информационных системах АО «Петербургская сбытовая компания» используется ряд иностранных программных продуктов, относящихся к системам управления базами данных (СУБД), включая продукты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Microsoft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. Данные СУБД в своей работе используют ключевые производственные информационные системы сбытового сегмента (биллинги и CRM), а также большинство локальных ИТ-систем.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Все иностранное ПО данной категории подлежит поэтапной замене на отечественные программные продукты в рамках процесса импортозамещения, с учетом положений Стратегии цифровой трансформации Группы «Интер РАО», утвержденной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Cоветом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директоров ПАО «Интер РАО» от 27.12.2022 (протокол от 28.12.2022) и Приказа ПАО «Интер РАО» от 13.09.2022 № ИРАО/393» Об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импортонезависимости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безопасности бизнеса Группы ПАО «Интер РАО».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Решение данной задачи требует приобретения отечественного программного обеспечения СУБД. Согласованный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общегрупповой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подход к приобретению подразумевает покупку безлимитной лицензии для всех компаний Групп ПАО «Интер РАО», с последующим распределением по ДЗО. Данное решение обусловлено тем, что лицензирование этого класса программных продуктов основывается на совокупных вычислительных мощностях, которые используют в своей работе информационные системы (ядра процессоров). Ввиду большого объема мощностей в компаниях Группы, данная схема лицензирования является предпочтительной.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рамках проекта планируется к приобретению следующие виды и количество продуктов, исходя из количества эксплуатируемых информационных систем и программно-технических платформ: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>Артикул/ Наименование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PPES-U-LIC-5Y-2109196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Простая (неисключительная) лицензия на право использования объектов авторского права программ для ЭВМ СУБД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неограниченное число ядер в составе: *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Лицензия СУБД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неограниченное число ядер в составе лицензий: </w:t>
            </w:r>
            <w:r w:rsidRPr="009B115D">
              <w:rPr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Enterprise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(PPE-86-LIC), </w:t>
            </w:r>
            <w:r w:rsidRPr="009B115D">
              <w:rPr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Enterprise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(сертифицированная версия (PPES-86-LIC), </w:t>
            </w:r>
            <w:r w:rsidRPr="009B115D">
              <w:rPr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Enterprise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для 1С (PPC-86-LIC), </w:t>
            </w:r>
            <w:r w:rsidRPr="009B115D">
              <w:rPr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Standard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(PPT-86-LIC), </w:t>
            </w:r>
            <w:r w:rsidRPr="009B115D">
              <w:rPr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Certified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(PPS-86-LIC).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>В состав поставки также входит гарантийная поддержка СУБД на 1 год.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Лицензия предоставляется на неограниченное число ядер на срок 5 лет, с правом использования на неограниченное количество установок. По истечении 5 лет у Общества остается право использования СУБД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Pro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(на весь срок действия исключительного права) в том количестве лицензий, которое было развернуто (использовано) в течение указанного периода и зафиксировано на момент окончания 5-ти летнего периода.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44,74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O_15.01.0415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права использования программного обеспечения «Автоматизированная система управленческого документооборота «АСУД» версия 3»,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Обеспечение доступа пользователей Автоматизированная система управленческого документооборота «АСУД» версия 3»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 в рамках договора № ИРИТ-2020-49-Д от 13.01.2020г АО «Петербургская сбытовая компания» использует корпоративную автоматизированную систему управления документооборотом АСУД ИК, правообладателем которой является ООО «Интер РАО - ИТ».  </w:t>
            </w:r>
            <w:r w:rsidRPr="009B115D">
              <w:rPr>
                <w:color w:val="000000"/>
                <w:sz w:val="16"/>
                <w:szCs w:val="16"/>
              </w:rPr>
              <w:br/>
              <w:t>В 2020 г. было приобретено 934 лицензии. В связи с увеличением количества активных пользователей, требуется приобретение дополнительного количества лицензий с доведением общего числа лицензий до 1100. С учетом отключения неактуальных пользователей, которым доступ фактически не требуется, данного количество должно быть достаточно для деятельности Общества.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Программа ЭВМ «Автоматизированная система управленческого документооборота «АСУД» версия 3» в количестве 186 лицензий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0,21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71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O_15.01.0418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многофункциональных устройств, 50 шт. ОС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 приобретения состоит в оснащении рабочих мест пользователей МФУ, характеристики которых отвечают текущим требованиям, обеспечивают возможность приобретения расходных материалов и соответствует положениям «Инструкции по обеспечению работников АО «Петербургская сбытовая компания» ИТ-оборудованием и ПО».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 в АО «Петербургская сбытовая компания» на рабочих местах пользователей используется значительное число многофункциональных печатающих устройств (МФУ), введенных в эксплуатацию до 2014 года и выработавших свой ресурс. Также в эксплуатации остаются единичные экземпляры разнородного печатного оборудования, введенного в период до 2010 года. Данные МФУ 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притеры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требуют замены, кроме того, в текущих условиях к ним затруднено приобретение расходных материалов импортного производства.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Приобретение современных МФУ необходимо для унификации при оснащении рабочих мест пользователей АО «Петербургская сбытовая компания».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Карта текущего состояния парка МФУ с учетом даты ввода в эксплуатацию в файле «Расчет для планирования </w:t>
            </w:r>
            <w:proofErr w:type="spellStart"/>
            <w:proofErr w:type="gramStart"/>
            <w:r w:rsidRPr="009B115D">
              <w:rPr>
                <w:color w:val="000000"/>
                <w:sz w:val="16"/>
                <w:szCs w:val="16"/>
              </w:rPr>
              <w:t>раб.мест</w:t>
            </w:r>
            <w:proofErr w:type="spellEnd"/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ДО.xlsx».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МФУ Катюша M247 (страна происхождения Российская Федерация) - 50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1,30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O_15.01.0435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для импортозамещения систем виртуализации и серверных операционных систем,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Целью проекта является обеспечение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импортонезависимости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бесперебойного функционирования инфраструктуры Общества на базе отечественного ПО.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настоящее время, в инфраструктуре и информационных системах АО «Петербургская сбытовая компания» используется ряд иностранных программных продуктов, относящихся к системам виртуализации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VMware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VM) и к серверным операционным системам (ОС: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Microsoft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Windows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Server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Red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Hat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Enterprise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др.).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Все перечисленное ПО подлежит поэтапной замене на отечественные программные продукты в рамках процесса импортозамещения, с учетом положений Стратегии цифровой трансформации Группы «Интер РАО», утвержденной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Cоветом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директоров ПАО «Интер РАО» от 27.12.2022 (протокол от 28.12.2022) и Приказа ПАО «Интер РАО» от 13.09.2022 № ИРАО/393» Об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импортонезависимости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безопасности бизнеса Группы ПАО «Интер РАО»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рамках проекта планируется к приобретению следующие виды и количество лицензий:</w:t>
            </w:r>
            <w:r w:rsidRPr="009B115D">
              <w:rPr>
                <w:color w:val="000000"/>
                <w:sz w:val="16"/>
                <w:szCs w:val="16"/>
              </w:rPr>
              <w:br/>
              <w:t>Продукт/ Кол-во</w:t>
            </w:r>
            <w:r w:rsidRPr="009B115D">
              <w:rPr>
                <w:color w:val="000000"/>
                <w:sz w:val="16"/>
                <w:szCs w:val="16"/>
              </w:rPr>
              <w:br/>
              <w:t>Простая (неисключительная) лицензия на право использования Ред Виртуализация на 1 сервер (не более 2 сокетов), без ограничения по кол-ву ВМ, включает лицензию РЕД ОС "Сервер" стандартной редакции и 1 год гарантии стандартного уровня 20</w:t>
            </w:r>
            <w:r w:rsidRPr="009B115D">
              <w:rPr>
                <w:color w:val="000000"/>
                <w:sz w:val="16"/>
                <w:szCs w:val="16"/>
              </w:rPr>
              <w:br/>
              <w:t>Простая (неисключительная) лицензия на право использования операционной системы РЕД ОС без ограничения срока действия. Сертифицированная редакция. Конфигурация: Сервер. Включает 1 год гарантии стандартного уровня 136</w:t>
            </w:r>
            <w:r w:rsidRPr="009B115D">
              <w:rPr>
                <w:color w:val="000000"/>
                <w:sz w:val="16"/>
                <w:szCs w:val="16"/>
              </w:rPr>
              <w:br/>
              <w:t>Инсталляционный комплект сертифицированной редакции операционной системы РЕД ОС. Состав: упаковка, оптические диски, формуляр, копия сертификата ФСТЭК России 1</w:t>
            </w:r>
            <w:r w:rsidRPr="009B115D">
              <w:rPr>
                <w:color w:val="000000"/>
                <w:sz w:val="16"/>
                <w:szCs w:val="16"/>
              </w:rPr>
              <w:br/>
              <w:t>Лицензия на операционную систему специального назначения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серверная до 2 сокетов, на срок действия исключительного права, с включенными обновлениями ТИП 1 на 36 мес. 4</w:t>
            </w:r>
            <w:r w:rsidRPr="009B115D">
              <w:rPr>
                <w:color w:val="000000"/>
                <w:sz w:val="16"/>
                <w:szCs w:val="16"/>
              </w:rPr>
              <w:br/>
              <w:t>Лицензия на операционную систему специального назначения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 для 63-х разрядной платформы на базе процессорной архитектуры х86-64 (очередное обновление 1.7), уровень защищенности "Усиленный" ("Воронеж"), РУСБ.10015-01 (ФСТЭК), способ передачи электронный, для 1 виртуального сервера, на срок действия исключительного права, с включенными обновлениями ТИП 1 на 36 мес. 2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указанное количество входит потребность для перевода 100% текущих промышленных ферм виртуализации АО «Петербургская сбытовая компания» на базе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VMWare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OracleVM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гипервизоры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Red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Виртуализация, а также разворачивания новых ИС 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Алькор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», «Риск Рейтинг» и «Единая информационно-аналитическая система»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Лицензии РЕД ОС предназначены для развертывания новых серверов и для перевода имеющихся серверов на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импортозамещенное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ПО. Приобретение данных лицензий закроет текущую потребность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импортозамещенных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лицензиях для серверных операционных систем, находящихся в промышленной эксплуатации, на 100%.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Лицензии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Special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Edition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приобретаются исключительно для системы ИВК-Пионер и также из расчета 100% потребности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2,13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O_15.01.0436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и внедрение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импортозамещённой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системы IP-телефонии, объект ОС,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Выведение из эксплуатации УАТС CUCM, внедрение современной отечественной системы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ip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-телефонии, обладающей широкими возможностями настройки и масштабируемости, отвечающей современным и перспективным запросам бизнеса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течение 2024 года АО «ПСК» запланировано развёртывание системы IP-телефонии на базе отечественного программного комплекса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Flat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Software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(далее –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Flat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), которая будет являться новым основным средством. Данная система призвана взять на себя функции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Cisco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Unified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Call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Manager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(УАТС CUCM).</w:t>
            </w:r>
            <w:r w:rsidRPr="009B115D">
              <w:rPr>
                <w:color w:val="000000"/>
                <w:sz w:val="16"/>
                <w:szCs w:val="16"/>
              </w:rPr>
              <w:br/>
              <w:t>Используемая в настоящее время УАТС Общества не поддерживается производителем на территории России, не является отечественным ПО, не отвечает потребностям бизнеса и корпоративным стандартам. Необходима замена УАТС CUCM на отечественное решение.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Состав лицензий:</w:t>
            </w:r>
            <w:r w:rsidRPr="009B115D">
              <w:rPr>
                <w:color w:val="000000"/>
                <w:sz w:val="16"/>
                <w:szCs w:val="16"/>
              </w:rPr>
              <w:br/>
              <w:t>• 10 эконом лицензий – для аналоговых абонентов, подключенных через шлюзы (факс-аппараты, DECT);</w:t>
            </w:r>
            <w:r w:rsidRPr="009B115D">
              <w:rPr>
                <w:color w:val="000000"/>
                <w:sz w:val="16"/>
                <w:szCs w:val="16"/>
              </w:rPr>
              <w:br/>
              <w:t>• 970 базовых лицензий - для подключения любого IP-телефона или софт- клиента, в центральном офисе и филиале (ОСЭ);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470 расширенных лицензий - для подключения любого IP-телефона или софт- клиента с дополнительным функционалом чата и статуса присутствия. Это дополнительное количество базовых абонентов, которые пользуются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мессендежером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Cisco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Jabber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20 IVR – вывод из эксплуатации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Cisco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UCCX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Contact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Center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Express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), который используется для функционала автооператора;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20 одновременных участников во всех комнатах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аудиоконференций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(АКС);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• лицензии «Запись экранных форм», «Контактный центр», «Тарификация» - для замещения единым решением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FreePBX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Tariscope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;</w:t>
            </w:r>
            <w:r w:rsidRPr="009B115D">
              <w:rPr>
                <w:color w:val="000000"/>
                <w:sz w:val="16"/>
                <w:szCs w:val="16"/>
              </w:rPr>
              <w:br/>
              <w:t>• сервисные контракты на поддержку, исходя из количества лицензий на ПО.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5,70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O_15.01.0437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для резервного копирования,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Целью проекта является обеспечение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импортонезависимости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бесперебойного функционирования инфраструктуры Общества на базе отечественного ПО.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 в инфраструктуре и информационных системах АО «Петербургская сбытовая компания» используется иностранный программный продукт, относящийся к системе резервного копирования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Hitachi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CommVault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Simpana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. Данное ПО подлежит замене на отечественные программные продукты в рамках процесса импортозамещения с учетом положений Стратегии цифровой трансформации Группы «Интер РАО», утвержденной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Cоветом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директоров ПАО «Интер РАО» от 27.12.2022 (протокол от 28.12.2022) и Приказа ПАО «Интер РАО» от 13.09.2022 № ИРАО/393» Об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импортонезависимости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 безопасности бизнеса Группы ПАО «Интер РАО»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рамках проекта планируется к приобретению следующие виды и количество продуктов:</w:t>
            </w:r>
            <w:r w:rsidRPr="009B115D">
              <w:rPr>
                <w:color w:val="000000"/>
                <w:sz w:val="16"/>
                <w:szCs w:val="16"/>
              </w:rPr>
              <w:br/>
              <w:t>№ п/п Артикул Продукт Кол-во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1 F16VANL Лицензия на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платформы виртуализации (ФСТЭК) 26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2 F16VANL-S Сертификат на техническую поддержку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платформы виртуализации (ФСТЭК) на 1 год 26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3 CB4337virtACert Базовый пакет для сертифицированной версии программного комплекса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платформы виртуализации (ФСТЭК)* 26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4 F16PANL Лицензия на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физического сервера (ФСТЭК) 20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5 F16PANL-S Сертификат на техническую поддержку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физического сервера (ФСТЭК) на 1 год 20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6 CB4337servACert Базовый пакет для сертифицированной версии программного комплекса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физического сервера (ФСТЭК)* 20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7 F16APPDBNL Лицензия на ПО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Расширенная редакция для СУБД на базе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PostgreSQL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(ФСТЭК) 7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8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eToken_upd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USB-ключ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для получения сертифицированных обновлений ФСТЭК 1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* Производителем продукта «Базовый пакет для сертифицированной версии программного комплекса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Кибер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Бэкап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» является привлеченная правообладателем сторонняя компания, комплект поставки состоит из:</w:t>
            </w:r>
            <w:r w:rsidRPr="009B115D">
              <w:rPr>
                <w:color w:val="000000"/>
                <w:sz w:val="16"/>
                <w:szCs w:val="16"/>
              </w:rPr>
              <w:br/>
              <w:t>- абонемента на сертификационную поддержку (право получения сертифицированных обновлений на весь срок жизни сертификата при условии наличия активной лицензии/подписки);</w:t>
            </w:r>
            <w:r w:rsidRPr="009B115D">
              <w:rPr>
                <w:color w:val="000000"/>
                <w:sz w:val="16"/>
                <w:szCs w:val="16"/>
              </w:rPr>
              <w:br/>
              <w:t>- установочного дистрибутива эталонного образца;</w:t>
            </w:r>
            <w:r w:rsidRPr="009B115D">
              <w:rPr>
                <w:color w:val="000000"/>
                <w:sz w:val="16"/>
                <w:szCs w:val="16"/>
              </w:rPr>
              <w:br/>
              <w:t>- копии сертификата соответствия, заверенной печатью заявителя;</w:t>
            </w:r>
            <w:r w:rsidRPr="009B115D">
              <w:rPr>
                <w:color w:val="000000"/>
                <w:sz w:val="16"/>
                <w:szCs w:val="16"/>
              </w:rPr>
              <w:br/>
              <w:t>- формуляра на сертифицированного программное обеспечение, оформленного на конечного заказчика и маркированного уникальным знаком соответствия ФСТЭК России;</w:t>
            </w:r>
            <w:r w:rsidRPr="009B115D">
              <w:rPr>
                <w:color w:val="000000"/>
                <w:sz w:val="16"/>
                <w:szCs w:val="16"/>
              </w:rPr>
              <w:br/>
              <w:t>- медиа-кита с руководствами по эксплуатации и безопасной настройке.</w:t>
            </w:r>
            <w:r w:rsidRPr="009B115D">
              <w:rPr>
                <w:color w:val="000000"/>
                <w:sz w:val="16"/>
                <w:szCs w:val="16"/>
              </w:rPr>
              <w:br/>
              <w:t>Ввиду того, что правообладатель не может включить данную позицию в состав лицензии, но при этом пакет является бессрочным и выступает как неотъемлемая часть сертифицированной лицензии, планируется его включение в состав НМА, совместно с лицензией.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указанное количество лицензий входит потребность для обеспечения резервным копированием текущих инфраструктурных ИС АО «Петербургская сбытовая компания», АО «ЕИРЦ», АО «ПЭС» в ЦО и внешнем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датацентре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. Учтена потребность в резервном копировании новых ИС.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Приобретение данных лицензий закроет текущую потребность 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импортозамещенных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лицензиях для системы резервного копирования на 100%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2,59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O_15.01.0438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межсетевых экранов, 6 шт. ОС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Обеспечение должного уровня защиты информационных систем АО «Петербургская сбытовая компания» от внешних угроз и предотвращения вторжений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Обществе эксплуатируются информационные системы персональных данных (ИСУСЭ БП, ИКУС, ЕБСРЮЛ, ИАС, АИИСКУЭ) в том числе включенные в перечень объектов КИИ РФ. Для их защиты необходимо выполнение требований к информационной безопасности, утвержденных Приказом ФСТЭК России от 18.02.2013 №21), обеспечиваемых использованием средств межсетевого экранирования (МСЭ).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настоящее время в качестве МСЭ используется оборудование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Fortinet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(США). В 2022 году у данных МСЭ со стороны производителя были отозваны программные лицензии, в силу чего его функционал оказался ограничен, техническая поддержка также не оказывается, сертификат соответствия ФСТЭК прекращен 31 марта 2022 г. Также в эксплуатации остаются МСЭ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Palo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Alto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PA-5020 (США), на которые техническая поддержка отсутствует, данное оборудование не проходило сертификацию.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Указом Президента Российской Федерации от 01.05.2022 г. № 250 «О дополнительных мерах по обеспечению информационной безопасности Российской Федерации» установлено, что с 1 января 2025 г. органам (организациям) запрещается использовать средства защиты информации, странами происхождения которых являются иностранные государства, совершающие в отношении Российской Федерации, российских юридических лиц и физических лиц недружественные действия, либо производителями которых являются организации, находящиеся под юрисдикцией таких иностранных государств, прямо или косвенно подконтрольные им либо аффилированные с ними. Кроме того, в соответствии с п.10 Рекомендаций по обеспечению необходимого уровня безопасности в сфере ИКТ компаний Группы «Интер РАО», введенных Приказом ПАО «Интер РАО» от 09.06.2022 №ИРАО/232, должен быть установлен запрет на использование иностранных средств защиты информации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lastRenderedPageBreak/>
              <w:t>Исходя из вышеизложенного, для обеспечения требуемого уровня защищенности корпоративной сети требуется произвести замену всех МСЭ.</w:t>
            </w:r>
            <w:r w:rsidRPr="009B115D">
              <w:rPr>
                <w:color w:val="000000"/>
                <w:sz w:val="16"/>
                <w:szCs w:val="16"/>
              </w:rPr>
              <w:br/>
              <w:t>В настоящее время не завершены работы по тестированию решений межсетевых экранов нового поколения (класса NGFW), которые проводятся силами ООО 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Бизкомм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» по запросу ДИБ ПАО «Интер РАО» и с участием лаборатории по импортозамещению Группы. Поэтому стоимость проекта на данном этапе формируется на основании ранее выбранного решения (оборудование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Fortinet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), по которому подтверждена возможность дальнейшей эксплуатации, с учетом письма от 13.04.2023 №ИН/КП/ДВ/63.  В дальнейшем планируется пересмотр наполнения проекта, после получения рекомендаций о выборе МСЭ.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Межсетевой экран FG-1100Е+на6ор подписок АТP+ТП+RMA сроком на 1 год    -    2 шт.;</w:t>
            </w:r>
            <w:r w:rsidRPr="009B115D">
              <w:rPr>
                <w:color w:val="000000"/>
                <w:sz w:val="16"/>
                <w:szCs w:val="16"/>
              </w:rPr>
              <w:br/>
              <w:t>Межсетевой экран FG-1800F+на6ор подписок АТP+ТП+RMA сроком на 1 год   -    4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14,88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O_15.01.0444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неисключительных прав использования программного обеспечения "Автоматизированная система управления человеческим капиталом "Таланты "Интер РАО",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проекта является обеспечить доступ пользователей к Автоматизированной системе управления человеческим капиталом «Таланты «Интер РАО»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Основными целями проекта на предоставление права использования программы ЭВМ «Автоматизированная система управления человеческим капиталом «Таланты «Интер РАО»» являются:</w:t>
            </w:r>
            <w:r w:rsidRPr="009B115D">
              <w:rPr>
                <w:color w:val="000000"/>
                <w:sz w:val="16"/>
                <w:szCs w:val="16"/>
              </w:rPr>
              <w:br/>
              <w:t>• оптимизация и повышение эффективности процессов управления персоналом;</w:t>
            </w:r>
            <w:r w:rsidRPr="009B115D">
              <w:rPr>
                <w:color w:val="000000"/>
                <w:sz w:val="16"/>
                <w:szCs w:val="16"/>
              </w:rPr>
              <w:br/>
              <w:t>• унификация и стандартизация HR-процессов по Группе;</w:t>
            </w:r>
            <w:r w:rsidRPr="009B115D">
              <w:rPr>
                <w:color w:val="000000"/>
                <w:sz w:val="16"/>
                <w:szCs w:val="16"/>
              </w:rPr>
              <w:br/>
              <w:t>• развитие управленческой культуры, вовлечение и повышение ответственности руководителей за кадровые решения.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Программа ЭВМ «Автоматизированная система управления человеческим капиталом «Таланты «Интер РАО» - 1 403 лицензии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1,30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O_15.01.0445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дополнительных модулей к программному обеспечению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АльфаЦЕНТР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Обеспечение работы на ОРЭМ по действующим группам точек поставки потребителей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Программное обеспечение (ПО) АИИС КУЭ 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АльфаЦЕНТР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» (многопользовательская версия AC_SE Стандарт) используется для работы на ОРЭМ по действующим группам точек поставки потребителей.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связи с доукомплектованием бригад с увеличением штата отдела технического аудита потребителей электроэнергии, для проведения проверок и анализа профилей потребления электрической энергии (мощности) необходимо приобретение дополнительных программных модулей AC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Лаптоп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(AC_L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Laptop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), которые являются клиентским ПО для портативного компьютера и предназначены для ручного опроса счетчиков через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оптопорт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или мультиплексор (RS232) с последующим экспортом данных в базу данных, а также для экспорта данных из других модулей для последующего импорта в удаленную базу данных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AC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Лаптоп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- 5 лицензий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0,12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O_15.01.0446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лицензий на программное обеспечение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Цель приобретения состоит в необходимости своевременного продления используемого Обществом программного обеспечения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Необходимость продления лицензий на программное обеспечение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, которое используется сотрудниками отдела экспертизы проектов в рамках предоставления услуги «Разработка проектов энергоснабжения». Ранее приобретались годовые лицензии, планируются к приобретению лицензии на 3 года.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Право на использование программы для ЭВМ "Платформа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 23 (основной модуль), сетевая лицензия (серверная часть)   1 шт.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Право на использование программы для ЭВМ "Платформа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 23 (основной модуль), сетевая лицензия (доп. место)   3 шт.</w:t>
            </w:r>
            <w:r w:rsidRPr="009B115D">
              <w:rPr>
                <w:color w:val="000000"/>
                <w:sz w:val="16"/>
                <w:szCs w:val="16"/>
              </w:rPr>
              <w:br/>
              <w:t>Право на использование программы для ЭВМ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BIM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 23, сетевая лицензия (серверная часть)   1 шт.</w:t>
            </w:r>
            <w:r w:rsidRPr="009B115D">
              <w:rPr>
                <w:color w:val="000000"/>
                <w:sz w:val="16"/>
                <w:szCs w:val="16"/>
              </w:rPr>
              <w:br/>
              <w:t>Право на использование программы для ЭВМ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nanoCAD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BIM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Электро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 23, сетевая лицензия (доп. место)    3 шт.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Программый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продукт включен в реестр отечественного ПО, реестровая запись №371 от 08.04.2016.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0,40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O_15.01.0454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лицензий на антивирусное программное обеспечение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Kaspersky</w:t>
            </w:r>
            <w:proofErr w:type="spellEnd"/>
            <w:proofErr w:type="gramStart"/>
            <w:r w:rsidRPr="009B115D">
              <w:rPr>
                <w:color w:val="000000"/>
                <w:sz w:val="16"/>
                <w:szCs w:val="16"/>
              </w:rPr>
              <w:t>" ,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объект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Обеспечение надёжной защиты от вирусных угроз на компьютерах и серверах в центральном офисе, ОСЭ и контроллерских участках на последующие 3 года.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 настоящее время, в АО «Петербургская сбытовая компания» насчитывается около 1700 хостов, на которых установлено антивирусное программное обеспечение 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Kaspersky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Endpoint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Security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для бизнеса», необходимое для обеспечения безопасности корпоративной IT-инфраструктуры, защиты серверных и пользовательских информационных систем центрального офиса, ОСЭ и контролерских участков, срок использования которого истекает в январе 2025 г.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  <w:lang w:val="en-US"/>
              </w:rPr>
            </w:pPr>
            <w:r w:rsidRPr="009B115D">
              <w:rPr>
                <w:color w:val="000000"/>
                <w:sz w:val="16"/>
                <w:szCs w:val="16"/>
              </w:rPr>
              <w:t>Лицензия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Kaspersky Endpoint Security </w:t>
            </w:r>
            <w:r w:rsidRPr="009B115D">
              <w:rPr>
                <w:color w:val="000000"/>
                <w:sz w:val="16"/>
                <w:szCs w:val="16"/>
              </w:rPr>
              <w:t>для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9B115D">
              <w:rPr>
                <w:color w:val="000000"/>
                <w:sz w:val="16"/>
                <w:szCs w:val="16"/>
              </w:rPr>
              <w:t>бизнеса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- </w:t>
            </w:r>
            <w:r w:rsidRPr="009B115D">
              <w:rPr>
                <w:color w:val="000000"/>
                <w:sz w:val="16"/>
                <w:szCs w:val="16"/>
              </w:rPr>
              <w:t>Расширенный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Russian Edition., 5000+ Node 3 year Renewal License - 1700 </w:t>
            </w:r>
            <w:r w:rsidRPr="009B115D">
              <w:rPr>
                <w:color w:val="000000"/>
                <w:sz w:val="16"/>
                <w:szCs w:val="16"/>
              </w:rPr>
              <w:t>лицензий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0,97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O_15.01.0455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персональных компьютеров в 2025 году, 300 штук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 приобретения состоит в оснащении рабочих мест пользователей персональными компьютерами, конфигурация которых отвечает системным требованиям современного программного обеспечения, используемого в АО «Петербургская сбытовая компания» и соответствует положениям «Инструкции по обеспечению работников АО «Петербургская сбытовая компания» ИТ-оборудованием и ПО».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 в АО «Петербургская сбытовая компания» на рабочих местах сотрудников используется значительное число персональных компьютеров (ПК), введенных в эксплуатацию до 2014 года и не соответствующих требованиям «Инструкции по обеспечению работников АО «Петербургская сбытовая компания» ИТ-оборудованием и ПО». Данные персональные компьютеры требуют замены. Приобретение современных персональных компьютеров необходимо для своевременной модернизации и оснащения рабочих мест сотрудников АО «Петербургская сбытовая компания». 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качестве АРМ, предполагается к приобретению Программно-аппаратный комплекс в составе: ПК Гравитон Д12И на базе процессора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Intel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не ниже 10-го поколения, оснащенный оперативной памятью в размере 8 ГБ (не менее DDR4 2666 (2 слота, максимальный объем 32 ГБ)), с установленным жестким диском не менее 256 ГБ (SSD), встроенным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Intel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HD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Graphics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графическим адаптером, встроенным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Gigabit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Ethernet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сетевым, HD аудио-адаптером. Комплект поставки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bundle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включает в себя блок питания, VESA-крепление, проводные USB клавиатуру и оптическую мышь, монитор 23.8"с разрешением не менее 1920х1080.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АРМ поставляются без операционной системы. В рамках импортозамещения планируется установка отечественной ОС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AstraLinux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, ее приобретение планируется в рамках отдельного инвестиционного проекта ввиду необходимости замены ОС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Windows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всем парке АРМ.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Default="009B115D" w:rsidP="009B115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5,86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295BAD" w:rsidRPr="009B115D" w:rsidTr="00295BA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O_15.01.0456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серверного оборудования и комплектующих в 2025 году, объект ОС, 2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проекта является обеспечение вычислительных мощностей для новых информационных систем, а также замена оборудования, выработавшего свой ресурс на новое, обладающее необходимым быстродействием и отказоустойчивостью в соответствии с Методикой МТ-185-1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К моменту реализации проекта, перечисленное ниже оборудование выработает свой ресурс, на него закончится гарантийная поддержка и будет необходим вывод из промышленной эксплуатации в соответствии с Методикой МТ-185-1: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>• СХД промышленной фермы виртуализации в ЦО V5030E с полками расширения (серийные № 781VD46, 781RN69, 781RT93,781RT90 (2020 г.). Полезный объем составляет - 110ТБ.</w:t>
            </w:r>
            <w:r w:rsidRPr="009B115D">
              <w:rPr>
                <w:color w:val="000000"/>
                <w:sz w:val="16"/>
                <w:szCs w:val="16"/>
              </w:rPr>
              <w:br/>
              <w:t>• СХД промышленной фермы виртуализации в ДЦ V5030 с полками расширения (серийные № 781M837, 781DL63, 781L556, 781Z465 (2016-2017 г.). Полезный объем составляет - 62ТБ.</w:t>
            </w:r>
            <w:r w:rsidRPr="009B115D">
              <w:rPr>
                <w:color w:val="000000"/>
                <w:sz w:val="16"/>
                <w:szCs w:val="16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br/>
              <w:t>Дальнейшее использование выведенного из промышленной эксплуатации оборудования в тестовых средах различных ИС Общества.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FPD-13-DS-4212B5 c дисками SSD общим полезным объемом 165 ТБ - 1 шт.;</w:t>
            </w:r>
            <w:r w:rsidRPr="009B115D">
              <w:rPr>
                <w:color w:val="000000"/>
                <w:sz w:val="16"/>
                <w:szCs w:val="16"/>
              </w:rPr>
              <w:br/>
              <w:t>FPD-13-DS-4212B5 c дисками SSD общим полезным объемом 87 ТБ - 1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Default="00295BAD" w:rsidP="00295BA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26,88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295BAD" w:rsidRPr="009B115D" w:rsidTr="00295BAD">
        <w:trPr>
          <w:gridAfter w:val="1"/>
          <w:wAfter w:w="49" w:type="dxa"/>
          <w:trHeight w:val="186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O_15.25.0457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Внедрение биллинговой системы расчетов с юридическими лицами на базе российской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СУБД,  объект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НМА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Отказ от программных продуктов, серверного оборудования и лицензий зарубежных правообладателей (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) и переход на использование исключительно российского ПО (или свободно распространяемого программного обеспечения для компонентов, не имеющих российских аналогов) и серверного оборудования при расчетах за электроэнергию с потребителями – юридическими лицами.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В настоящее время для автоматизации управления энергосбытовой деятельностью, централизованного проведения расчетов и формирования начислений потребителям – юридическим лицам за электроэнергию, а также ведения всей необходимой для обеспечения процесса технологической информации, функционирует Единая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биллинговая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система для расчетов с юридическими лицами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импортозамещенная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конфигурация (ЕБЮЛ ИК).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Первоначально в 2016 году система ЕБЮЛ была разработана с использованием готовых платформенных компонентов вендора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(США), решение размещалось на аппаратной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Exadata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Exalogic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того же вендора.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2020 году программная часть системы ЕБЮЛ была полностью переработана и получила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импортозамещенную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версию ЕБЮЛ ИК. При этом СУБД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не менялась.</w:t>
            </w:r>
            <w:r w:rsidRPr="009B115D">
              <w:rPr>
                <w:color w:val="000000"/>
                <w:sz w:val="16"/>
                <w:szCs w:val="16"/>
              </w:rPr>
              <w:br/>
              <w:t>В настоящее время использование в системе ЕБЮЛ ИК иностранной СУБД и аппаратной платформы не соответствует государственной политике по импортозамещению и несет риски и угрозы, связанные с геополитикой и уязвимостью бизнеса, в том числе, в области кибербезопасности.</w:t>
            </w:r>
            <w:r w:rsidRPr="009B115D">
              <w:rPr>
                <w:color w:val="000000"/>
                <w:sz w:val="16"/>
                <w:szCs w:val="16"/>
              </w:rPr>
              <w:br/>
              <w:t>Проект призван решить задачу выполнения требований государственных органов РФ по импортозамещению путем перехода на полностью российское или свободное программное обеспечение (ПО) и серверное оборудование из реестра Минпромторга РФ при расчетах за электроэнергию с юридическими лицами.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решении ЕБЮЛ ИК необходимо заместить СУБД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сопоставимый  по производительности и функционалу программный продукт из единого реестра российских программ для электронных вычислительных машин и баз данных (далее – Реестр), удовлетворяющий требованиям государственных органов Российской Федерации о допустимости использования только российского ПО на предприятиях с государственным участием. Кроме того, российская СУБД в составе системы должна обладать необходимыми техническими возможностями и обеспечиваться поддержкой и сопровождением на протяжении всего жизненного цикла системы.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Одновременно с замещением СУБД системы ЕБЮЛ ИК, необходимо будет заместить серверное оборудование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Oracle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на аналогичное по производительности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импортозамещенное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серверное оборудование из реестра Минпромторга РФ аттестованное по требованиям ФСТЭК.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НМА - 1 штука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Default="00295BAD" w:rsidP="00295BAD">
            <w:r w:rsidRPr="009B115D">
              <w:rPr>
                <w:color w:val="000000"/>
                <w:sz w:val="16"/>
                <w:szCs w:val="16"/>
              </w:rPr>
              <w:t>г. Санкт-Петербург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112,63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trHeight w:val="255"/>
        </w:trPr>
        <w:tc>
          <w:tcPr>
            <w:tcW w:w="22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B115D">
              <w:rPr>
                <w:b/>
                <w:bCs/>
                <w:color w:val="000000"/>
                <w:sz w:val="16"/>
                <w:szCs w:val="16"/>
              </w:rPr>
              <w:t>Построение интеллектуальной системы коммерческого учёта электроэнергии</w:t>
            </w:r>
          </w:p>
        </w:tc>
      </w:tr>
      <w:tr w:rsidR="009B115D" w:rsidRPr="009B115D" w:rsidTr="009B115D">
        <w:trPr>
          <w:gridAfter w:val="1"/>
          <w:wAfter w:w="49" w:type="dxa"/>
          <w:trHeight w:val="459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K_15.01.0199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Оснащение потребителей электрической энергии в многоквартирных домах Ленинградской области интеллектуальными приборами учёта в 2024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году  14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 xml:space="preserve"> 840 шт.; в 2025 году - 22 161 шт.; в 2026 году - 15 947 шт.; в 2027 году 17 818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создания ИСУ является автоматизация следующих основных процессов учета коммерческой электроэнергии:</w:t>
            </w:r>
            <w:r w:rsidRPr="009B115D">
              <w:rPr>
                <w:color w:val="000000"/>
                <w:sz w:val="16"/>
                <w:szCs w:val="16"/>
              </w:rPr>
              <w:br/>
              <w:t>- Выполнение измерений электроэнергии;</w:t>
            </w:r>
            <w:r w:rsidRPr="009B115D">
              <w:rPr>
                <w:color w:val="000000"/>
                <w:sz w:val="16"/>
                <w:szCs w:val="16"/>
              </w:rPr>
              <w:br/>
              <w:t>- Снижение дебиторской задолженности;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- Снижение уровня хищения электроэнергии; </w:t>
            </w:r>
            <w:r w:rsidRPr="009B115D">
              <w:rPr>
                <w:color w:val="000000"/>
                <w:sz w:val="16"/>
                <w:szCs w:val="16"/>
              </w:rPr>
              <w:br/>
              <w:t>- Снижение потерь в сетях и, как следствие, снижение риска разногласий с   ТСО;</w:t>
            </w:r>
            <w:r w:rsidRPr="009B115D">
              <w:rPr>
                <w:color w:val="000000"/>
                <w:sz w:val="16"/>
                <w:szCs w:val="16"/>
              </w:rPr>
              <w:br/>
              <w:t>- Автоматизированный сбор и консолидация результатов измерений;</w:t>
            </w:r>
            <w:r w:rsidRPr="009B115D">
              <w:rPr>
                <w:color w:val="000000"/>
                <w:sz w:val="16"/>
                <w:szCs w:val="16"/>
              </w:rPr>
              <w:br/>
              <w:t>- Хранение первичных данных об измерениях в специализированной базе;</w:t>
            </w:r>
            <w:r w:rsidRPr="009B115D">
              <w:rPr>
                <w:color w:val="000000"/>
                <w:sz w:val="16"/>
                <w:szCs w:val="16"/>
              </w:rPr>
              <w:br/>
              <w:t>- Синхронизация измерений Системы по времени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Выполнение требований Федерального законодательства (Федеральный закон от 27.12.2018 № 522-ФЗ)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          Необходимость установки счётчиков электрической энергии в квартирах,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втроенных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помещениях (запитанных от ГРЩ жилого дома), и ОДПУ в многоквартирных домах Ленинградской области, включаемых в систему интеллектуального учёта, обусловленных отсутствием, неисправностью прибора учёта или истечением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межповерочного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интервала. По состоянию на 01.01.2024 года в течение ближайших 4-х лет подлежит установке следующее количество средств измерений:</w:t>
            </w:r>
            <w:r w:rsidRPr="009B115D">
              <w:rPr>
                <w:color w:val="000000"/>
                <w:sz w:val="16"/>
                <w:szCs w:val="16"/>
              </w:rPr>
              <w:br/>
              <w:t>однофазные приборы учёта - 55 537 шт.;</w:t>
            </w:r>
            <w:r w:rsidRPr="009B115D">
              <w:rPr>
                <w:color w:val="000000"/>
                <w:sz w:val="16"/>
                <w:szCs w:val="16"/>
              </w:rPr>
              <w:br/>
              <w:t>трехфазные приборы учёта - 740 шт.;</w:t>
            </w:r>
            <w:r w:rsidRPr="009B115D">
              <w:rPr>
                <w:color w:val="000000"/>
                <w:sz w:val="16"/>
                <w:szCs w:val="16"/>
              </w:rPr>
              <w:br/>
              <w:t>ОДПУ - 9 587 шт.;</w:t>
            </w:r>
            <w:r w:rsidRPr="009B115D">
              <w:rPr>
                <w:color w:val="000000"/>
                <w:sz w:val="16"/>
                <w:szCs w:val="16"/>
              </w:rPr>
              <w:br/>
              <w:t>шлюзы - 5 198 шт.;</w:t>
            </w:r>
            <w:r w:rsidRPr="009B115D">
              <w:rPr>
                <w:color w:val="000000"/>
                <w:sz w:val="16"/>
                <w:szCs w:val="16"/>
              </w:rPr>
              <w:br/>
              <w:t>роутеры - 14 761 шт.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На 2024 год планируется установка следующего количества:</w:t>
            </w:r>
            <w:r w:rsidRPr="009B115D">
              <w:rPr>
                <w:color w:val="000000"/>
                <w:sz w:val="16"/>
                <w:szCs w:val="16"/>
              </w:rPr>
              <w:br/>
              <w:t>однофазные приборы учёта - 10 787 шт.;</w:t>
            </w:r>
            <w:r w:rsidRPr="009B115D">
              <w:rPr>
                <w:color w:val="000000"/>
                <w:sz w:val="16"/>
                <w:szCs w:val="16"/>
              </w:rPr>
              <w:br/>
              <w:t>трехфазные приборы учёта - 1 235 шт.;</w:t>
            </w:r>
            <w:r w:rsidRPr="009B115D">
              <w:rPr>
                <w:color w:val="000000"/>
                <w:sz w:val="16"/>
                <w:szCs w:val="16"/>
              </w:rPr>
              <w:br/>
              <w:t>ОДПУ - 700 шт.;</w:t>
            </w:r>
            <w:r w:rsidRPr="009B115D">
              <w:rPr>
                <w:color w:val="000000"/>
                <w:sz w:val="16"/>
                <w:szCs w:val="16"/>
              </w:rPr>
              <w:br/>
              <w:t>шлюзы - 3 000 шт.;</w:t>
            </w:r>
            <w:r w:rsidRPr="009B115D">
              <w:rPr>
                <w:color w:val="000000"/>
                <w:sz w:val="16"/>
                <w:szCs w:val="16"/>
              </w:rPr>
              <w:br/>
              <w:t>роутеры - 2 000 шт.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     По результатам проведённых конкурсных закупочных процедур определился подрядчик для выполнения работ по установке приборов учёта- ООО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СтройЭнергоКом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".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    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ООО "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СтройЭнергоКом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>", ИНН 5032069220</w:t>
            </w:r>
            <w:r w:rsidRPr="009B115D">
              <w:rPr>
                <w:color w:val="000000"/>
                <w:sz w:val="16"/>
                <w:szCs w:val="16"/>
              </w:rPr>
              <w:br/>
              <w:t>установка (замена) приборов учета при отсутствии, выходе из строя, истечения срока эксплуатации или выходе за МПИ у потребителей электроэнергии</w:t>
            </w:r>
            <w:r w:rsidRPr="009B115D">
              <w:rPr>
                <w:color w:val="000000"/>
                <w:sz w:val="16"/>
                <w:szCs w:val="16"/>
              </w:rPr>
              <w:br/>
              <w:t>договор от 12.01.2024 № 23-466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1 086,27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2027 год (для целей утверждения настоящей инвестиционной программы)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trHeight w:val="255"/>
        </w:trPr>
        <w:tc>
          <w:tcPr>
            <w:tcW w:w="22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B115D">
              <w:rPr>
                <w:b/>
                <w:bCs/>
                <w:color w:val="000000"/>
                <w:sz w:val="16"/>
                <w:szCs w:val="16"/>
              </w:rPr>
              <w:t>Прочие мероприятия</w:t>
            </w:r>
          </w:p>
        </w:tc>
      </w:tr>
      <w:tr w:rsidR="009B115D" w:rsidRPr="009B115D" w:rsidTr="009B115D">
        <w:trPr>
          <w:gridAfter w:val="1"/>
          <w:wAfter w:w="49" w:type="dxa"/>
          <w:trHeight w:val="135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I_15.01.0012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легковых автомобилей Малого класса в 2024 году, 17 штук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LADA </w:t>
            </w:r>
            <w:proofErr w:type="spellStart"/>
            <w:r w:rsidRPr="009B115D">
              <w:rPr>
                <w:color w:val="000000"/>
                <w:sz w:val="16"/>
                <w:szCs w:val="16"/>
                <w:lang w:val="en-US"/>
              </w:rPr>
              <w:t>Niva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 Travel 213100 - 13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 xml:space="preserve">CHERY TIGGO4 PRO - 1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</w:r>
            <w:r w:rsidRPr="009B115D">
              <w:rPr>
                <w:color w:val="000000"/>
                <w:sz w:val="16"/>
                <w:szCs w:val="16"/>
              </w:rPr>
              <w:t>JAC J7 LUXURY 1,5T + CVT - 3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9B115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Ленинградская область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29,48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295BAD" w:rsidRPr="009B115D" w:rsidTr="00295BAD">
        <w:trPr>
          <w:gridAfter w:val="1"/>
          <w:wAfter w:w="49" w:type="dxa"/>
          <w:trHeight w:val="124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O_15.25.0012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легковых автомобилей Малого класса в 2025 году, 7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  <w:lang w:val="en-US"/>
              </w:rPr>
            </w:pPr>
            <w:r w:rsidRPr="009B115D">
              <w:rPr>
                <w:color w:val="000000"/>
                <w:sz w:val="16"/>
                <w:szCs w:val="16"/>
                <w:lang w:val="en-US"/>
              </w:rPr>
              <w:t xml:space="preserve">JAC J7 LUXURY 1,5T + CVT - 4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  <w:r w:rsidRPr="009B115D">
              <w:rPr>
                <w:color w:val="000000"/>
                <w:sz w:val="16"/>
                <w:szCs w:val="16"/>
                <w:lang w:val="en-US"/>
              </w:rPr>
              <w:br/>
              <w:t xml:space="preserve">CHERY TIGGO4 PRO - 3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9B115D">
              <w:rPr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Default="00295BAD" w:rsidP="00295BAD">
            <w:r w:rsidRPr="00534932">
              <w:rPr>
                <w:color w:val="000000"/>
                <w:sz w:val="16"/>
                <w:szCs w:val="16"/>
              </w:rPr>
              <w:t>Ленинградская область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14,77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295BAD" w:rsidRPr="009B115D" w:rsidTr="00295BAD">
        <w:trPr>
          <w:gridAfter w:val="1"/>
          <w:wAfter w:w="49" w:type="dxa"/>
          <w:trHeight w:val="12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O_15.26.0012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легковых автомобилей Малого класса в 2026 году, 17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Необходимость приобретения легковых автомобилей отечественного производства обусловлена заменой автопарка Общества, эксплуатационный срок которых составляет 5 (пять) и более лет, ввиду нерентабельности их ремонта (изношенность узлов и агрегатов).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CHERY TIGGO4 PRO - 17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Default="00295BAD" w:rsidP="00295BAD">
            <w:r w:rsidRPr="00534932">
              <w:rPr>
                <w:color w:val="000000"/>
                <w:sz w:val="16"/>
                <w:szCs w:val="16"/>
              </w:rPr>
              <w:t>Ленинградская область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31,24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BA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430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O_15.01.0414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контрольно-измерительных приборов, 19 шт. ОС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приобретения дополнительного количества контрольно-измерительных приборов является обеспечение возможности увеличения объема работ, выполняемых линейным персоналом, а также исполнение требований законодательства РФ, при проведении производственной деятельности.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контрольно-измерительных приборов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вольтамперфазометров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«ПАРМА-ВАФ-А(С), обеспечит возможность проведения линейным персоналом работ по жалобам абонентов на работу приборов учета и обращениям потребителей по договорам юридических лиц по допуску измерительных комплексов электрической энергии в эксплуатацию, в соответствии с требованиями Законодательства РФ, при проведении производственной деятельности. 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рамках исполнения ФЗ 522 продолжаются работы по реализации проекта интеллектуальных систем учета (далее – ИСУ), увеличивается объем работы линейного персонала, в части допуска в эксплуатацию установленных приборов учета ИСУ на общедомовые приборы учета в многоквартирных домах, с одновременным выводом из эксплуатации приборов с истекшим сроком эксплуатации. Процедура допуска предусматривает проведение инструментальной проверки измерительных комплексов и систем учета электрической энергии (приборов учета и схем подключения), с использованием указанных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контрольно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- измерительных приборов.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На основании изложенного выше, необходимо увеличить количество используемых контрольно-измерительных приборов, для обеспечения потребности линейного персонала, при проведении производственной деятельности и увеличения количества принимаемых объектов (измерительных комплексов). 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Прибор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вольтамперфазометр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«ПАРМА-ВАФ-А(С) - 19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Ленинградская область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0,32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295BAD">
        <w:trPr>
          <w:gridAfter w:val="1"/>
          <w:wAfter w:w="49" w:type="dxa"/>
          <w:trHeight w:val="291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lastRenderedPageBreak/>
              <w:t>O_15.01.0432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Приобретение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программно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аппаратного комплекса аудио-видео фиксации в зоне проведения работ, 1 шт. ОС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Повышение контроля над действиями персонала и обеспечения безопасности персонала при работе по ограничению режима потребления электроэнергии потребителей-должников.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При проведении работ по ограничению режима потребления электроэнергии потребителей-должников возникает </w:t>
            </w:r>
            <w:proofErr w:type="gramStart"/>
            <w:r w:rsidRPr="009B115D">
              <w:rPr>
                <w:color w:val="000000"/>
                <w:sz w:val="16"/>
                <w:szCs w:val="16"/>
              </w:rPr>
              <w:t>необходимость  аудио</w:t>
            </w:r>
            <w:proofErr w:type="gramEnd"/>
            <w:r w:rsidRPr="009B115D">
              <w:rPr>
                <w:color w:val="000000"/>
                <w:sz w:val="16"/>
                <w:szCs w:val="16"/>
              </w:rPr>
              <w:t>-видео фиксации в целях контроля действий и повышения дисциплины персонала, снижения числа конфликтных ситуаций и обеспечения доказательной базы при возможных правонарушениях. Работа по ограничениям проводится в постоянном режиме сотрудниками управления технического аудита потребителей электроэнергии (УТАПЭ) на основании п.170 Постановления Правительства РФ № 442 и регламентов бизнес-процессов ПАО «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ИнтерРАО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» РП-100-2 и РП-146-2. </w:t>
            </w:r>
            <w:r w:rsidRPr="009B115D">
              <w:rPr>
                <w:color w:val="000000"/>
                <w:sz w:val="16"/>
                <w:szCs w:val="16"/>
              </w:rPr>
              <w:br/>
              <w:t xml:space="preserve">В настоящее время персонал УТАПЭ не оснащен специализированными средствами аудио-видео фиксации, а использование бытовых средств (камера мобильного телефона и т.п.) не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обеспечивет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требуемую автономность и независимость от действий сотрудника.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Терминал «СТРАЖ-Терминал-22» - 1 шт.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295BAD" w:rsidP="00295B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Ленинградская область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0,09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295BA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229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O_15.01.0440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Приобретение и установка ограждения в клиентском офисе по адресу: Ленинградская область, г. Тосно, ул. Энергетиков, д.7; объект ОС 1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Целью ИПКВ является проведение работ по устройству нового ограждения Тосненского ОСЭ.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Ограждение Тосненского ОСЭ находится в неудовлетворительном состоянии и подлежит списанию с ОС общества. Причины списания: ограждение не может использоваться по прямому назначению по причине физического износа, морального устаревания и другим необратимым недостаткам, которые препятствуют полноценному использованию ОС. Ремонт не целесообразен. На территории Тосненского ОСЭ целесообразно провести работы по устройству нового ограждения.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B115D">
              <w:rPr>
                <w:color w:val="000000"/>
                <w:sz w:val="16"/>
                <w:szCs w:val="16"/>
              </w:rPr>
              <w:t>Строительно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монтажные работы по установке нового ограждения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Ленинградская область, г. Тосно, ул. Энергетиков, д.7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1,26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2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O_15.01.0441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инженерно-технических систем охраны в клиентском офисе по адресу: Ленинградская область, г. Кировск, ул. Энергетиков, д.6.; объект ОС 3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энергосервисных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системы охранного видеонаблюдения</w:t>
            </w:r>
            <w:r w:rsidRPr="009B115D">
              <w:rPr>
                <w:color w:val="000000"/>
                <w:sz w:val="16"/>
                <w:szCs w:val="16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115D">
              <w:rPr>
                <w:color w:val="000000"/>
                <w:sz w:val="16"/>
                <w:szCs w:val="16"/>
              </w:rPr>
              <w:br/>
              <w:t>Модернизация охранно-тревожной сигнализации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Ленинградская область, г. Кировск, ул. Энергетиков, д.6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2,29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  <w:tr w:rsidR="009B115D" w:rsidRPr="009B115D" w:rsidTr="009B115D">
        <w:trPr>
          <w:gridAfter w:val="1"/>
          <w:wAfter w:w="49" w:type="dxa"/>
          <w:trHeight w:val="12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O_15.01.0442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инженерно-технических систем охраны в клиентском офисе по адресу: Ленинградская область, г. Тосно, ул. Энергетиков, д.7.; объект ОС 3 шт.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Антитеррористическая защита объектов, сотрудников и клиентов компании, имущества АО «Петербургская сбытовая компания» от противоправных действий третьих лиц и возникновения чрезвычайных ситуаций, обеспечение устойчивой и бесперебойной работы инженерно-технических средств охраны, обеспечение достоверной видео и аудио регистрации событий в клиентских зонах, в целях улучшения качества обслуживания, обеспечение внутриобъектового и пропускного режима.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both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Модернизация инженерно-технических систем охраны в клиентских офисах АО «ПСК» проводится в соответствии с требованиями Указа Президента РФ от 14.06.2012 № 851 «О порядке установления уровней террористической опасности, предусматривающей принятие дополнительных мер по обеспечению безопасности личности, общества и государства», приказа Председателя Правления ПАО «Интер РАО» от 03.04.2015 № ИРАО/4-к «Об утверждении Методики по действиям при установлении уровней террористической опасности», федерального закона от 21 декабря 1994 г. № 68-ФЗ «О защите населения и территорий от чрезвычайных ситуаций природного и техногенного характера», приказа Председателя Правления ПАО «Интер РАО» от 10.08.2023 № ИРАО/378 «Об утверждении Методики МТ-295-1 «Техническая укрепленность и оборудование ИТСО зданий и помещений энергосбытовых и </w:t>
            </w:r>
            <w:proofErr w:type="spellStart"/>
            <w:r w:rsidRPr="009B115D">
              <w:rPr>
                <w:color w:val="000000"/>
                <w:sz w:val="16"/>
                <w:szCs w:val="16"/>
              </w:rPr>
              <w:t>энергосервисных</w:t>
            </w:r>
            <w:proofErr w:type="spellEnd"/>
            <w:r w:rsidRPr="009B115D">
              <w:rPr>
                <w:color w:val="000000"/>
                <w:sz w:val="16"/>
                <w:szCs w:val="16"/>
              </w:rPr>
              <w:t xml:space="preserve"> компаний Группы «Интер РАО». Необходимость реализации проекта возникла в связи с тем, что имеющиеся системы охранного видеонаблюдения в 2024 году выработают установленный ресурс 10 лет (введены в эксплуатацию в 2010-2014) и не в полной мере отвечают требованиям Методики МТ-295-1. Дальнейшая их эксплуатация связана с высокими рисками отказов и значительными затратами на ремонтные работы и подержание в рабочем состоянии. Здания (помещения) клиентских офисов находится в собственности АО «ПСК»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Модернизация системы охранного видеонаблюдения</w:t>
            </w:r>
            <w:r w:rsidRPr="009B115D">
              <w:rPr>
                <w:color w:val="000000"/>
                <w:sz w:val="16"/>
                <w:szCs w:val="16"/>
              </w:rPr>
              <w:br/>
              <w:t>Модернизация пожарной сигнализации и системы оповещения и управления эвакуацией (СОУЭ)</w:t>
            </w:r>
            <w:r w:rsidRPr="009B115D">
              <w:rPr>
                <w:color w:val="000000"/>
                <w:sz w:val="16"/>
                <w:szCs w:val="16"/>
              </w:rPr>
              <w:br/>
              <w:t>Модернизация охранно-тревожной сигнализации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Ленинградская область, г. Тосно, ул. Энергетиков, д.7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 xml:space="preserve">3,36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jc w:val="center"/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15D" w:rsidRPr="009B115D" w:rsidRDefault="009B115D" w:rsidP="009B115D">
            <w:pPr>
              <w:rPr>
                <w:color w:val="000000"/>
                <w:sz w:val="16"/>
                <w:szCs w:val="16"/>
              </w:rPr>
            </w:pPr>
            <w:r w:rsidRPr="009B115D">
              <w:rPr>
                <w:color w:val="000000"/>
                <w:sz w:val="16"/>
                <w:szCs w:val="16"/>
              </w:rPr>
              <w:t>показатель не рассчитывается</w:t>
            </w:r>
          </w:p>
        </w:tc>
      </w:tr>
    </w:tbl>
    <w:p w:rsidR="00AF3D93" w:rsidRPr="008240C5" w:rsidRDefault="00AF3D93" w:rsidP="00295BAD">
      <w:pPr>
        <w:jc w:val="both"/>
        <w:rPr>
          <w:sz w:val="26"/>
          <w:szCs w:val="26"/>
        </w:rPr>
      </w:pPr>
    </w:p>
    <w:sectPr w:rsidR="00AF3D93" w:rsidRPr="008240C5" w:rsidSect="00175079">
      <w:pgSz w:w="23814" w:h="16840" w:orient="landscape" w:code="8"/>
      <w:pgMar w:top="1418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9F93DB6"/>
    <w:multiLevelType w:val="hybridMultilevel"/>
    <w:tmpl w:val="BCD0169C"/>
    <w:lvl w:ilvl="0" w:tplc="8AAC6566">
      <w:start w:val="1"/>
      <w:numFmt w:val="bullet"/>
      <w:lvlText w:val="−"/>
      <w:lvlJc w:val="left"/>
      <w:pPr>
        <w:ind w:left="78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D8F5444"/>
    <w:multiLevelType w:val="hybridMultilevel"/>
    <w:tmpl w:val="BE0A31C8"/>
    <w:lvl w:ilvl="0" w:tplc="1D548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5D4546"/>
    <w:multiLevelType w:val="hybridMultilevel"/>
    <w:tmpl w:val="F000E7E6"/>
    <w:lvl w:ilvl="0" w:tplc="84C4EF3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074AF6"/>
    <w:multiLevelType w:val="hybridMultilevel"/>
    <w:tmpl w:val="0BD68620"/>
    <w:lvl w:ilvl="0" w:tplc="4D983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FA6E5C"/>
    <w:multiLevelType w:val="multilevel"/>
    <w:tmpl w:val="0A9E974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42D9B"/>
    <w:multiLevelType w:val="hybridMultilevel"/>
    <w:tmpl w:val="DC1A5034"/>
    <w:lvl w:ilvl="0" w:tplc="C2805822">
      <w:start w:val="1"/>
      <w:numFmt w:val="bullet"/>
      <w:pStyle w:val="3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37056"/>
    <w:multiLevelType w:val="hybridMultilevel"/>
    <w:tmpl w:val="D2F6A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A7EDE"/>
    <w:multiLevelType w:val="hybridMultilevel"/>
    <w:tmpl w:val="D5BAEBC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822D7"/>
    <w:multiLevelType w:val="hybridMultilevel"/>
    <w:tmpl w:val="9B5A37F4"/>
    <w:lvl w:ilvl="0" w:tplc="04190017">
      <w:start w:val="1"/>
      <w:numFmt w:val="lowerLetter"/>
      <w:lvlText w:val="%1)"/>
      <w:lvlJc w:val="left"/>
      <w:pPr>
        <w:ind w:left="1416" w:hanging="360"/>
      </w:p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9" w15:restartNumberingAfterBreak="0">
    <w:nsid w:val="589D4A7B"/>
    <w:multiLevelType w:val="hybridMultilevel"/>
    <w:tmpl w:val="EBBC4146"/>
    <w:lvl w:ilvl="0" w:tplc="6BD4F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A4ABF"/>
    <w:multiLevelType w:val="hybridMultilevel"/>
    <w:tmpl w:val="ADECDDD6"/>
    <w:lvl w:ilvl="0" w:tplc="4D983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757D4"/>
    <w:multiLevelType w:val="hybridMultilevel"/>
    <w:tmpl w:val="6F62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26FDF"/>
    <w:multiLevelType w:val="hybridMultilevel"/>
    <w:tmpl w:val="000C244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4"/>
  </w:num>
  <w:num w:numId="8">
    <w:abstractNumId w:val="11"/>
  </w:num>
  <w:num w:numId="9">
    <w:abstractNumId w:val="1"/>
  </w:num>
  <w:num w:numId="10">
    <w:abstractNumId w:val="8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9F"/>
    <w:rsid w:val="00007198"/>
    <w:rsid w:val="00013EB7"/>
    <w:rsid w:val="000155A0"/>
    <w:rsid w:val="000320B3"/>
    <w:rsid w:val="00034975"/>
    <w:rsid w:val="00040A32"/>
    <w:rsid w:val="00046846"/>
    <w:rsid w:val="00072EBB"/>
    <w:rsid w:val="00075256"/>
    <w:rsid w:val="00086585"/>
    <w:rsid w:val="000919D0"/>
    <w:rsid w:val="000A3F1F"/>
    <w:rsid w:val="000A5ABF"/>
    <w:rsid w:val="000B272B"/>
    <w:rsid w:val="000E23EA"/>
    <w:rsid w:val="00111E97"/>
    <w:rsid w:val="00130090"/>
    <w:rsid w:val="00133DD1"/>
    <w:rsid w:val="0014192D"/>
    <w:rsid w:val="00142CD4"/>
    <w:rsid w:val="0015256A"/>
    <w:rsid w:val="00152592"/>
    <w:rsid w:val="00166294"/>
    <w:rsid w:val="00167466"/>
    <w:rsid w:val="00175079"/>
    <w:rsid w:val="001866B0"/>
    <w:rsid w:val="00193EAF"/>
    <w:rsid w:val="001961DF"/>
    <w:rsid w:val="00196E78"/>
    <w:rsid w:val="001B570F"/>
    <w:rsid w:val="001B5F51"/>
    <w:rsid w:val="001C4E56"/>
    <w:rsid w:val="001C7B00"/>
    <w:rsid w:val="001E03F1"/>
    <w:rsid w:val="001E3058"/>
    <w:rsid w:val="002075B8"/>
    <w:rsid w:val="00211351"/>
    <w:rsid w:val="00227ED7"/>
    <w:rsid w:val="002361A8"/>
    <w:rsid w:val="00243F42"/>
    <w:rsid w:val="00256F3B"/>
    <w:rsid w:val="00260E5C"/>
    <w:rsid w:val="00266DD2"/>
    <w:rsid w:val="0026747E"/>
    <w:rsid w:val="0027473B"/>
    <w:rsid w:val="0028005B"/>
    <w:rsid w:val="0028370A"/>
    <w:rsid w:val="00295BAD"/>
    <w:rsid w:val="002E6AA2"/>
    <w:rsid w:val="002F2BF6"/>
    <w:rsid w:val="00313E47"/>
    <w:rsid w:val="003177D5"/>
    <w:rsid w:val="00343DF6"/>
    <w:rsid w:val="00361623"/>
    <w:rsid w:val="003903D1"/>
    <w:rsid w:val="0039309E"/>
    <w:rsid w:val="003B0B8E"/>
    <w:rsid w:val="003C3395"/>
    <w:rsid w:val="003C55A7"/>
    <w:rsid w:val="00406AEB"/>
    <w:rsid w:val="00417001"/>
    <w:rsid w:val="004246AE"/>
    <w:rsid w:val="0046476B"/>
    <w:rsid w:val="004808D4"/>
    <w:rsid w:val="004B3FEF"/>
    <w:rsid w:val="004C4996"/>
    <w:rsid w:val="004C5DF7"/>
    <w:rsid w:val="004F10F1"/>
    <w:rsid w:val="00502B44"/>
    <w:rsid w:val="0050303A"/>
    <w:rsid w:val="005145E2"/>
    <w:rsid w:val="005241FC"/>
    <w:rsid w:val="00543BE7"/>
    <w:rsid w:val="00552FFC"/>
    <w:rsid w:val="005739F1"/>
    <w:rsid w:val="0057478B"/>
    <w:rsid w:val="005B325D"/>
    <w:rsid w:val="005C7652"/>
    <w:rsid w:val="005F0FB8"/>
    <w:rsid w:val="006145D4"/>
    <w:rsid w:val="00614759"/>
    <w:rsid w:val="006241C6"/>
    <w:rsid w:val="0063426D"/>
    <w:rsid w:val="006631F0"/>
    <w:rsid w:val="00670A09"/>
    <w:rsid w:val="00672F7F"/>
    <w:rsid w:val="00674A7C"/>
    <w:rsid w:val="00680987"/>
    <w:rsid w:val="006951B3"/>
    <w:rsid w:val="006E5082"/>
    <w:rsid w:val="0071405D"/>
    <w:rsid w:val="00720971"/>
    <w:rsid w:val="0072187F"/>
    <w:rsid w:val="00722CF1"/>
    <w:rsid w:val="00723863"/>
    <w:rsid w:val="007245FB"/>
    <w:rsid w:val="007255CD"/>
    <w:rsid w:val="00730ACB"/>
    <w:rsid w:val="00763ED3"/>
    <w:rsid w:val="0077057A"/>
    <w:rsid w:val="007747B8"/>
    <w:rsid w:val="007A0FEE"/>
    <w:rsid w:val="007B1C6B"/>
    <w:rsid w:val="007B302C"/>
    <w:rsid w:val="007B5537"/>
    <w:rsid w:val="007C453F"/>
    <w:rsid w:val="007F5D98"/>
    <w:rsid w:val="00803EB8"/>
    <w:rsid w:val="008240C5"/>
    <w:rsid w:val="008366CC"/>
    <w:rsid w:val="00837F5F"/>
    <w:rsid w:val="00843D7F"/>
    <w:rsid w:val="00854C42"/>
    <w:rsid w:val="00864AC4"/>
    <w:rsid w:val="008711D9"/>
    <w:rsid w:val="008A4044"/>
    <w:rsid w:val="008A5C91"/>
    <w:rsid w:val="008E2C34"/>
    <w:rsid w:val="0091769B"/>
    <w:rsid w:val="0092610F"/>
    <w:rsid w:val="009331E5"/>
    <w:rsid w:val="00937B70"/>
    <w:rsid w:val="00951C54"/>
    <w:rsid w:val="00970A23"/>
    <w:rsid w:val="00976A53"/>
    <w:rsid w:val="009A28EC"/>
    <w:rsid w:val="009B115D"/>
    <w:rsid w:val="009B704B"/>
    <w:rsid w:val="009E335F"/>
    <w:rsid w:val="009F518E"/>
    <w:rsid w:val="00A05F9F"/>
    <w:rsid w:val="00A175DC"/>
    <w:rsid w:val="00A46E27"/>
    <w:rsid w:val="00A503F5"/>
    <w:rsid w:val="00A52DF8"/>
    <w:rsid w:val="00A72E2B"/>
    <w:rsid w:val="00A92777"/>
    <w:rsid w:val="00A94AA5"/>
    <w:rsid w:val="00AB44C0"/>
    <w:rsid w:val="00AB5888"/>
    <w:rsid w:val="00AC2AAF"/>
    <w:rsid w:val="00AC2B05"/>
    <w:rsid w:val="00AC3AFD"/>
    <w:rsid w:val="00AD035C"/>
    <w:rsid w:val="00AD7C30"/>
    <w:rsid w:val="00AE1081"/>
    <w:rsid w:val="00AF2804"/>
    <w:rsid w:val="00AF3D93"/>
    <w:rsid w:val="00B02E2F"/>
    <w:rsid w:val="00B149EA"/>
    <w:rsid w:val="00B80BFF"/>
    <w:rsid w:val="00B82C9E"/>
    <w:rsid w:val="00B841B7"/>
    <w:rsid w:val="00B84E2B"/>
    <w:rsid w:val="00BC7FF3"/>
    <w:rsid w:val="00BD6F6E"/>
    <w:rsid w:val="00BE5463"/>
    <w:rsid w:val="00BF24F6"/>
    <w:rsid w:val="00C15DF4"/>
    <w:rsid w:val="00C26CBE"/>
    <w:rsid w:val="00C44DE6"/>
    <w:rsid w:val="00C4557D"/>
    <w:rsid w:val="00C54EDE"/>
    <w:rsid w:val="00C753B7"/>
    <w:rsid w:val="00C75A03"/>
    <w:rsid w:val="00CA712E"/>
    <w:rsid w:val="00CB18C8"/>
    <w:rsid w:val="00CB25C1"/>
    <w:rsid w:val="00CC275F"/>
    <w:rsid w:val="00CE34AB"/>
    <w:rsid w:val="00D16979"/>
    <w:rsid w:val="00D45904"/>
    <w:rsid w:val="00D4660E"/>
    <w:rsid w:val="00D63BDD"/>
    <w:rsid w:val="00D83416"/>
    <w:rsid w:val="00DA49FF"/>
    <w:rsid w:val="00DB5DEC"/>
    <w:rsid w:val="00DD4609"/>
    <w:rsid w:val="00E021AA"/>
    <w:rsid w:val="00E07F39"/>
    <w:rsid w:val="00E606FC"/>
    <w:rsid w:val="00E6688F"/>
    <w:rsid w:val="00E85D3B"/>
    <w:rsid w:val="00E92CB3"/>
    <w:rsid w:val="00EC56FD"/>
    <w:rsid w:val="00EF0FF3"/>
    <w:rsid w:val="00F21F4C"/>
    <w:rsid w:val="00F240D4"/>
    <w:rsid w:val="00F42B03"/>
    <w:rsid w:val="00F76354"/>
    <w:rsid w:val="00F96894"/>
    <w:rsid w:val="00FA37FE"/>
    <w:rsid w:val="00FB0FBC"/>
    <w:rsid w:val="00FB2842"/>
    <w:rsid w:val="00FD4221"/>
    <w:rsid w:val="00FD6357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E020"/>
  <w15:docId w15:val="{47838673-B350-40E3-8D3F-B438D3F1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5F9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-Абзац списка"/>
    <w:basedOn w:val="a"/>
    <w:link w:val="a4"/>
    <w:uiPriority w:val="34"/>
    <w:qFormat/>
    <w:rsid w:val="0028370A"/>
    <w:pPr>
      <w:ind w:left="720"/>
      <w:contextualSpacing/>
    </w:pPr>
  </w:style>
  <w:style w:type="paragraph" w:customStyle="1" w:styleId="ConsPlusNormal">
    <w:name w:val="ConsPlusNormal"/>
    <w:rsid w:val="00D834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D834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83416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AF3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61D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8">
    <w:name w:val="Body Text"/>
    <w:basedOn w:val="a"/>
    <w:link w:val="a9"/>
    <w:rsid w:val="001866B0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1866B0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aliases w:val="-Абзац списка Знак"/>
    <w:basedOn w:val="a0"/>
    <w:link w:val="a3"/>
    <w:uiPriority w:val="34"/>
    <w:locked/>
    <w:rsid w:val="001866B0"/>
    <w:rPr>
      <w:rFonts w:ascii="Times New Roman" w:eastAsia="Times New Roman" w:hAnsi="Times New Roman"/>
    </w:rPr>
  </w:style>
  <w:style w:type="paragraph" w:styleId="3">
    <w:name w:val="List Bullet 3"/>
    <w:basedOn w:val="a"/>
    <w:uiPriority w:val="99"/>
    <w:unhideWhenUsed/>
    <w:rsid w:val="0071405D"/>
    <w:pPr>
      <w:numPr>
        <w:numId w:val="13"/>
      </w:numPr>
      <w:spacing w:after="120"/>
      <w:contextualSpacing/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61BC-6BCF-42B9-86F3-EAF35A89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13079</Words>
  <Characters>74553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Воронин Андрей Николаевич</cp:lastModifiedBy>
  <cp:revision>2</cp:revision>
  <cp:lastPrinted>2017-02-28T10:23:00Z</cp:lastPrinted>
  <dcterms:created xsi:type="dcterms:W3CDTF">2024-11-08T12:41:00Z</dcterms:created>
  <dcterms:modified xsi:type="dcterms:W3CDTF">2024-11-08T12:41:00Z</dcterms:modified>
</cp:coreProperties>
</file>