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5F" w:rsidRDefault="00516A5F">
      <w:pPr>
        <w:pStyle w:val="ConsPlusNormal"/>
        <w:jc w:val="right"/>
        <w:outlineLvl w:val="0"/>
      </w:pPr>
      <w:r>
        <w:t>Приложение 8</w:t>
      </w:r>
    </w:p>
    <w:p w:rsidR="00516A5F" w:rsidRDefault="00516A5F">
      <w:pPr>
        <w:pStyle w:val="ConsPlusNormal"/>
        <w:jc w:val="right"/>
      </w:pPr>
      <w:r>
        <w:t>к государственной программе...</w:t>
      </w:r>
    </w:p>
    <w:p w:rsidR="00516A5F" w:rsidRDefault="00516A5F">
      <w:pPr>
        <w:pStyle w:val="ConsPlusNormal"/>
      </w:pPr>
    </w:p>
    <w:p w:rsidR="00516A5F" w:rsidRDefault="00516A5F">
      <w:pPr>
        <w:pStyle w:val="ConsPlusTitle"/>
        <w:jc w:val="center"/>
      </w:pPr>
      <w:r>
        <w:t>ПОРЯДОК</w:t>
      </w:r>
    </w:p>
    <w:p w:rsidR="00516A5F" w:rsidRDefault="00516A5F">
      <w:pPr>
        <w:pStyle w:val="ConsPlusTitle"/>
        <w:jc w:val="center"/>
      </w:pPr>
      <w:r>
        <w:t>ПРЕДОСТАВЛЕНИЯ И РАСПРЕДЕЛЕНИЯ СУБСИДИИ ИЗ ОБЛАСТНОГО</w:t>
      </w:r>
    </w:p>
    <w:p w:rsidR="00516A5F" w:rsidRDefault="00516A5F">
      <w:pPr>
        <w:pStyle w:val="ConsPlusTitle"/>
        <w:jc w:val="center"/>
      </w:pPr>
      <w:r>
        <w:t>БЮДЖЕТА ЛЕНИНГРАДСКОЙ ОБЛАСТИ БЮДЖЕТАМ МУНИЦИПАЛЬНЫХ</w:t>
      </w:r>
    </w:p>
    <w:p w:rsidR="00516A5F" w:rsidRDefault="00516A5F">
      <w:pPr>
        <w:pStyle w:val="ConsPlusTitle"/>
        <w:jc w:val="center"/>
      </w:pPr>
      <w:r>
        <w:t>ОБРАЗОВАНИЙ ЛЕНИНГРАДСКОЙ ОБЛАСТИ НА КАПИТАЛЬНОЕ</w:t>
      </w:r>
    </w:p>
    <w:p w:rsidR="00516A5F" w:rsidRDefault="00516A5F">
      <w:pPr>
        <w:pStyle w:val="ConsPlusTitle"/>
        <w:jc w:val="center"/>
      </w:pPr>
      <w:r>
        <w:t>СТРОИТЕЛЬСТВО (РЕКОНСТРУКЦИЮ) ОБЪЕКТОВ ТЕПЛОЭНЕРГЕТИКИ,</w:t>
      </w:r>
    </w:p>
    <w:p w:rsidR="00516A5F" w:rsidRDefault="00516A5F">
      <w:pPr>
        <w:pStyle w:val="ConsPlusTitle"/>
        <w:jc w:val="center"/>
      </w:pPr>
      <w:r>
        <w:t>ВКЛЮЧАЯ ПРОЕКТНО-ИЗЫСКАТЕЛЬСКИЕ РАБОТЫ</w:t>
      </w:r>
    </w:p>
    <w:p w:rsidR="00516A5F" w:rsidRDefault="00516A5F">
      <w:pPr>
        <w:pStyle w:val="ConsPlusNormal"/>
      </w:pPr>
    </w:p>
    <w:p w:rsidR="00516A5F" w:rsidRDefault="00516A5F">
      <w:pPr>
        <w:pStyle w:val="ConsPlusTitle"/>
        <w:jc w:val="center"/>
        <w:outlineLvl w:val="1"/>
      </w:pPr>
      <w:r>
        <w:t>1. Общие положения</w:t>
      </w:r>
    </w:p>
    <w:p w:rsidR="00516A5F" w:rsidRDefault="00516A5F">
      <w:pPr>
        <w:pStyle w:val="ConsPlusNormal"/>
      </w:pPr>
    </w:p>
    <w:p w:rsidR="00516A5F" w:rsidRDefault="00516A5F">
      <w:pPr>
        <w:pStyle w:val="ConsPlusNormal"/>
        <w:ind w:firstLine="540"/>
        <w:jc w:val="both"/>
      </w:pPr>
      <w:r>
        <w:t>1.1. Настоящий Порядок устанавливает цели, условия и 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мероприятий по капитальному строительству и реконструкции объектов теплоэнергетики, включая проектно-изыскательские работы (далее - субсидия).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1.2. Главным распорядителем средств областного бюджета Ленинградской области, осуществляющим предоставление субсидии, является комитет по топливно-энергетическому комплексу Ленинградской области (далее - Комитет).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1.3. Субсидия предоставляется в пределах бюджетных ассигнований, утвержденных в сводной бюджетной росписи областного бюджета Ленинградской области на соответствующий финансовый год и на плановый период, и лимитов бюджетных обязательств, доведенных в установленном порядке Комитету.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1.4. Субсидия предоставляется бюджетам муниципальных образований Ленинградской области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 Ленинградской области (далее - муниципальные образования), возникающих при решении органами местного самоуправления вопросов местного значения в части организации теплоснабжения в границах муниципального образования в соответствии с </w:t>
      </w:r>
      <w:hyperlink r:id="rId4">
        <w:r>
          <w:rPr>
            <w:color w:val="0000FF"/>
          </w:rPr>
          <w:t>пунктом 4 части 1 статьи 14</w:t>
        </w:r>
      </w:hyperlink>
      <w:r>
        <w:t xml:space="preserve"> и </w:t>
      </w:r>
      <w:hyperlink r:id="rId5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и </w:t>
      </w:r>
      <w:hyperlink r:id="rId6">
        <w:r>
          <w:rPr>
            <w:color w:val="0000FF"/>
          </w:rPr>
          <w:t>пунктом 1 статьи 6</w:t>
        </w:r>
      </w:hyperlink>
      <w:r>
        <w:t xml:space="preserve"> Федерального закона от 27 июля 2010 года N 190-ФЗ "О теплоснабжении".</w:t>
      </w:r>
    </w:p>
    <w:p w:rsidR="00516A5F" w:rsidRDefault="00516A5F">
      <w:pPr>
        <w:pStyle w:val="ConsPlusNormal"/>
      </w:pPr>
    </w:p>
    <w:p w:rsidR="00516A5F" w:rsidRDefault="00516A5F">
      <w:pPr>
        <w:pStyle w:val="ConsPlusTitle"/>
        <w:jc w:val="center"/>
        <w:outlineLvl w:val="1"/>
      </w:pPr>
      <w:r>
        <w:t>2. Цели и условия предоставления субсидии,</w:t>
      </w:r>
    </w:p>
    <w:p w:rsidR="00516A5F" w:rsidRDefault="00516A5F">
      <w:pPr>
        <w:pStyle w:val="ConsPlusTitle"/>
        <w:jc w:val="center"/>
      </w:pPr>
      <w:r>
        <w:t>критерии отбора муниципальных образований</w:t>
      </w:r>
    </w:p>
    <w:p w:rsidR="00516A5F" w:rsidRDefault="00516A5F">
      <w:pPr>
        <w:pStyle w:val="ConsPlusNormal"/>
      </w:pPr>
    </w:p>
    <w:p w:rsidR="00516A5F" w:rsidRDefault="00516A5F">
      <w:pPr>
        <w:pStyle w:val="ConsPlusNormal"/>
        <w:ind w:firstLine="540"/>
        <w:jc w:val="both"/>
      </w:pPr>
      <w:r>
        <w:t>2.1. Субсидия предоставляется бюджетам муниципальных образований на реализацию мероприятий по капитальному строительству (реконструкции) объектов теплоэнергетики в целях повышения надежности и качества предоставления коммунальных услуг (отопления и горячего водоснабжения).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2.2. Субсидия расходуется на капитальное строительство и реконструкцию объектов теплоэнергетики (в том числе строительный контроль), находящихся в собственности муниципальных образований (далее - объекты), включая проектно-изыскательские работы.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Результатами использования субсидии исходя из направления расходования субсидии (капитальное строительство и реконструкция объектов, включая проектно-изыскательские работы) являются: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а) получение положительного заключения государственной экспертизы на проектно-сметную документацию;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lastRenderedPageBreak/>
        <w:t>б) разработанная проектно-сметная документация на объект (шт.);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в) протяженность (длина) построенных и(или) реконструированных участков линейных объектов;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г) уровень строительной готовности объекта, выраженный в доле стоимости выполненных работ и оказанных услуг в общей стоимости работ по объекту.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2.3. Детализированные требования к достижению значений результатов использования субсидии устанавливаются соглашением.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2.4. Условия предоставления субсидии устанавливаются в соответствии с </w:t>
      </w:r>
      <w:hyperlink r:id="rId7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516A5F" w:rsidRDefault="00516A5F">
      <w:pPr>
        <w:pStyle w:val="ConsPlusNormal"/>
        <w:spacing w:before="220"/>
        <w:ind w:firstLine="540"/>
        <w:jc w:val="both"/>
      </w:pPr>
      <w:bookmarkStart w:id="0" w:name="P30"/>
      <w:bookmarkEnd w:id="0"/>
      <w:r>
        <w:t xml:space="preserve">2.5. Критерием, которому должны соответствовать муниципальные образования для получения субсидии, является наличие объекта (объектов) капитального строительства (реконструкции), включая проектно-изыскательские работы, в перечне объектов адресной инвестиционной программы Ленинградской области (далее - АИП), сформированном в порядке, установленном </w:t>
      </w:r>
      <w:hyperlink r:id="rId8">
        <w:r>
          <w:rPr>
            <w:color w:val="0000FF"/>
          </w:rPr>
          <w:t>Положением</w:t>
        </w:r>
      </w:hyperlink>
      <w:r>
        <w:t xml:space="preserve"> о формировании и реализации адресной инвестиционной программы Ленинградской области, утвержденным постановлением Правительства Ленинградской области от 25 января 2019 года N 10 (далее - Положение).</w:t>
      </w:r>
    </w:p>
    <w:p w:rsidR="00516A5F" w:rsidRDefault="00516A5F">
      <w:pPr>
        <w:pStyle w:val="ConsPlusNormal"/>
      </w:pPr>
    </w:p>
    <w:p w:rsidR="00516A5F" w:rsidRDefault="00516A5F">
      <w:pPr>
        <w:pStyle w:val="ConsPlusTitle"/>
        <w:jc w:val="center"/>
        <w:outlineLvl w:val="1"/>
      </w:pPr>
      <w:r>
        <w:t>3. Отбор заявок муниципальных образований для включения</w:t>
      </w:r>
    </w:p>
    <w:p w:rsidR="00516A5F" w:rsidRDefault="00516A5F">
      <w:pPr>
        <w:pStyle w:val="ConsPlusTitle"/>
        <w:jc w:val="center"/>
      </w:pPr>
      <w:r>
        <w:t>объектов в перечень АИП и предоставления субсидии</w:t>
      </w:r>
    </w:p>
    <w:p w:rsidR="00516A5F" w:rsidRDefault="00516A5F">
      <w:pPr>
        <w:pStyle w:val="ConsPlusNormal"/>
      </w:pPr>
    </w:p>
    <w:p w:rsidR="00516A5F" w:rsidRDefault="00516A5F">
      <w:pPr>
        <w:pStyle w:val="ConsPlusNormal"/>
        <w:ind w:firstLine="540"/>
        <w:jc w:val="both"/>
      </w:pPr>
      <w:r>
        <w:t>3.1. Отбор заявок муниципальных образований для включения объектов в перечень объектов АИП и предоставления субсидии (далее - отбор) осуществляется в году, предшествующем году предоставления субсидии.</w:t>
      </w:r>
    </w:p>
    <w:p w:rsidR="00516A5F" w:rsidRDefault="00516A5F">
      <w:pPr>
        <w:pStyle w:val="ConsPlusNormal"/>
        <w:spacing w:before="220"/>
        <w:ind w:firstLine="540"/>
        <w:jc w:val="both"/>
      </w:pPr>
      <w:bookmarkStart w:id="1" w:name="P36"/>
      <w:bookmarkEnd w:id="1"/>
      <w:r>
        <w:t>3.2. Информация о сроках начала и окончания приема заявок размещается на официальном сайте Комитета в информационно-телекоммуникационной сети "Интернет" (</w:t>
      </w:r>
      <w:hyperlink r:id="rId9">
        <w:r>
          <w:rPr>
            <w:color w:val="0000FF"/>
          </w:rPr>
          <w:t>www.power.lenobl.ru</w:t>
        </w:r>
      </w:hyperlink>
      <w:r>
        <w:t>) не позднее чем за три рабочих дня до даты начала приема заявок. Срок приема заявок не может превышать 10 рабочих дней.</w:t>
      </w:r>
    </w:p>
    <w:p w:rsidR="00516A5F" w:rsidRDefault="00516A5F">
      <w:pPr>
        <w:pStyle w:val="ConsPlusNormal"/>
        <w:spacing w:before="220"/>
        <w:ind w:firstLine="540"/>
        <w:jc w:val="both"/>
      </w:pPr>
      <w:bookmarkStart w:id="2" w:name="P37"/>
      <w:bookmarkEnd w:id="2"/>
      <w:r>
        <w:t>3.3. Заявки формируются раздельно на каждый объект, подписываются главой администрации муниципального образования и подаются на имя председателя Комитета в электронном виде через систему электронного документооборота Ленинградской области или направляются на официальную электронную почту Комитета по форме, утвержденной правовым актом Комитета.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К заявке прилагаются следующие документы: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а) положительное заключение государственной экспертизы на проектно-сметную документацию по объектам капитального строительства, в отношении которых проведение такой экспертизы предусмотрено законодательством Российской Федерации, в том числе сводный сметный расчет, заверенные в установленном порядке (в случае строительства, реконструкции объекта);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собственности муниципального образования на </w:t>
      </w:r>
      <w:r>
        <w:lastRenderedPageBreak/>
        <w:t>объект инвестиций, в том числе на объект незавершенного строительства;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в) выписка из реестра муниципальной собственности, заверенная в установленном порядке;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г) правоустанавливающие документы на земельные участки, здания и сооружения - объекты инвестиций, в том числе на объекты незавершенного строительства (в случае проектно-изыскательских работ);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д) технико-экономическое </w:t>
      </w:r>
      <w:hyperlink r:id="rId10">
        <w:r>
          <w:rPr>
            <w:color w:val="0000FF"/>
          </w:rPr>
          <w:t>обоснование</w:t>
        </w:r>
      </w:hyperlink>
      <w:r>
        <w:t xml:space="preserve"> необходимости строительства (реконструкции, приобретения) объекта инвестиций по форме, установленной Положением;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е) обоснование (расчет) влияния ввода в эксплуатацию объекта инвестиций на индикаторы государственных программ и их подпрограмм;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ж) расчет ежегодных эксплуатационных расходов и расходов на материально-техническое обеспечение объекта инвестиций после ввода его в эксплуатацию;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з) расчет стоимости проектно-изыскательских работ (в случае разработки проектно-сметной документации).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3.4.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3.5. Заявки и документы, представленные муниципальными образованиями для участия в отборе, не возвращаются.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3.6. Ответственность за достоверность представляемых сведений и документов несут администрации муниципальных образований.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3.7. Комитет не позднее 10 рабочих дней со дня окончания приема заявок: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рассматривает заявку на предмет наличия оснований для ее отклонения;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принимает решение о допуске к оценке (отклонении) заявок;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в случае отсутствия оснований для отклонения заявки обеспечивает ее представление к оценке заявок, осуществляемой в порядке, определенном Положением.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3.8. Основаниями для отклонения заявки являются: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недостоверность сведений, содержащихся в представленных муниципальным образованием документах;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объеме) документов, указанных в </w:t>
      </w:r>
      <w:hyperlink w:anchor="P37">
        <w:r>
          <w:rPr>
            <w:color w:val="0000FF"/>
          </w:rPr>
          <w:t>пункте 3.3</w:t>
        </w:r>
      </w:hyperlink>
      <w:r>
        <w:t xml:space="preserve"> настоящего Порядка;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представление заявки с нарушением срока, установленного </w:t>
      </w:r>
      <w:hyperlink w:anchor="P36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несоответствие муниципальных образований критерию, установленному </w:t>
      </w:r>
      <w:hyperlink w:anchor="P30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3.9. Победителями отбора по результатам оценки заявок являются заявки муниципальных образований в отношении объектов капитального строительства и реконструкции, имеющие наибольший рейтинг.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3.10. Информация о победителях отбора в течение пяти рабочих дней с даты утверждения адресной инвестиционной программы направляется участникам отбора.</w:t>
      </w:r>
    </w:p>
    <w:p w:rsidR="00516A5F" w:rsidRDefault="00516A5F">
      <w:pPr>
        <w:pStyle w:val="ConsPlusNormal"/>
      </w:pPr>
    </w:p>
    <w:p w:rsidR="00516A5F" w:rsidRDefault="00516A5F">
      <w:pPr>
        <w:pStyle w:val="ConsPlusTitle"/>
        <w:jc w:val="center"/>
        <w:outlineLvl w:val="1"/>
      </w:pPr>
      <w:r>
        <w:t>4. Порядок распределения и расходования субсидии</w:t>
      </w:r>
    </w:p>
    <w:p w:rsidR="00516A5F" w:rsidRDefault="00516A5F">
      <w:pPr>
        <w:pStyle w:val="ConsPlusNormal"/>
      </w:pPr>
    </w:p>
    <w:p w:rsidR="00516A5F" w:rsidRDefault="00516A5F">
      <w:pPr>
        <w:pStyle w:val="ConsPlusNormal"/>
        <w:ind w:firstLine="540"/>
        <w:jc w:val="both"/>
      </w:pPr>
      <w:r>
        <w:t xml:space="preserve">4.1. Распределение субсидии между муниципальными образованиями осуществляется согласно </w:t>
      </w:r>
      <w:hyperlink r:id="rId11">
        <w:r>
          <w:rPr>
            <w:color w:val="0000FF"/>
          </w:rPr>
          <w:t>подпункту "а" пункта 2.11</w:t>
        </w:r>
      </w:hyperlink>
      <w:r>
        <w:t xml:space="preserve"> Правил, исходя из заявок муниципальных образований, в соответствии с их рейтингом.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Распределение субсидии утверждается нормативным правовым актом Правительства Ленинградской области на очередной финансовый год и на плановый период с учетом </w:t>
      </w:r>
      <w:hyperlink r:id="rId12">
        <w:r>
          <w:rPr>
            <w:color w:val="0000FF"/>
          </w:rPr>
          <w:t>пунктов 3.1</w:t>
        </w:r>
      </w:hyperlink>
      <w:r>
        <w:t xml:space="preserve"> - </w:t>
      </w:r>
      <w:hyperlink r:id="rId13">
        <w:r>
          <w:rPr>
            <w:color w:val="0000FF"/>
          </w:rPr>
          <w:t>3.4</w:t>
        </w:r>
      </w:hyperlink>
      <w:r>
        <w:t xml:space="preserve"> Правил.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Предельный уровень софинансирования для муниципального образования на очередной финансовый год и на плановый период определяется в соответствии с </w:t>
      </w:r>
      <w:hyperlink r:id="rId14">
        <w:r>
          <w:rPr>
            <w:color w:val="0000FF"/>
          </w:rPr>
          <w:t>подпунктом "а" пункта 6.1</w:t>
        </w:r>
      </w:hyperlink>
      <w:r>
        <w:t xml:space="preserve"> Правил.</w:t>
      </w:r>
    </w:p>
    <w:p w:rsidR="00516A5F" w:rsidRDefault="00516A5F">
      <w:pPr>
        <w:pStyle w:val="ConsPlusNormal"/>
        <w:spacing w:before="220"/>
        <w:ind w:firstLine="540"/>
        <w:jc w:val="both"/>
      </w:pPr>
      <w:bookmarkStart w:id="3" w:name="P67"/>
      <w:bookmarkEnd w:id="3"/>
      <w:r>
        <w:t>4.2. Внесение изменений в утвержденное распределение субсидии осуществляется: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при внесении изменений в перечень АИП в соответствии с </w:t>
      </w:r>
      <w:hyperlink r:id="rId15">
        <w:r>
          <w:rPr>
            <w:color w:val="0000FF"/>
          </w:rPr>
          <w:t>разделом 4</w:t>
        </w:r>
      </w:hyperlink>
      <w:r>
        <w:t xml:space="preserve"> Положения;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в связи с увеличением объема бюджетных ассигнований областного бюджета Ленинградской области на предоставление субсидии;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при отсутствии соглашения, заключенного в соответствии с </w:t>
      </w:r>
      <w:hyperlink r:id="rId16">
        <w:r>
          <w:rPr>
            <w:color w:val="0000FF"/>
          </w:rPr>
          <w:t>пунктом 4.3</w:t>
        </w:r>
      </w:hyperlink>
      <w:r>
        <w:t xml:space="preserve"> Правил;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при изменении утвержденного для муниципального образования объема субсидии.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4.3. В случае внесения изменений в утвержденное распределение субсидии по основаниям, указанным в </w:t>
      </w:r>
      <w:hyperlink w:anchor="P67">
        <w:r>
          <w:rPr>
            <w:color w:val="0000FF"/>
          </w:rPr>
          <w:t>пункте 4.2</w:t>
        </w:r>
      </w:hyperlink>
      <w:r>
        <w:t xml:space="preserve"> настоящего Порядка, соглашение (дополнительное соглашение) заключается не позднее 30 календарных дней со дня вступления в силу нормативного правового акта Ленинградской области, утверждающего изменения в распределение субсидии.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4.4. Соглашение заключается по типовой форме, установленной приказом Комитета финансов Ленинградской области, в соответствии с требованиями </w:t>
      </w:r>
      <w:hyperlink r:id="rId17">
        <w:r>
          <w:rPr>
            <w:color w:val="0000FF"/>
          </w:rPr>
          <w:t>пункта 4.2</w:t>
        </w:r>
      </w:hyperlink>
      <w:r>
        <w:t xml:space="preserve"> Правил в сроки, установленные </w:t>
      </w:r>
      <w:hyperlink r:id="rId18">
        <w:r>
          <w:rPr>
            <w:color w:val="0000FF"/>
          </w:rPr>
          <w:t>пунктом 4.3</w:t>
        </w:r>
      </w:hyperlink>
      <w:r>
        <w:t xml:space="preserve"> Правил.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Соглашение заключается на соответствующий финансовый год в информационной системе "Управление бюджетным процессом Ленинградской области".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4.5. Муниципальное образование при заключении соглашения представляет в Комитет: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его исполнения, включая размер планируемой к предоставлению из областного бюджета Ленинградской области субсидии;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муниципальную программу (подпрограмму), предусматривающую мероприятия, на </w:t>
      </w:r>
      <w:proofErr w:type="spellStart"/>
      <w:r>
        <w:t>софинансирование</w:t>
      </w:r>
      <w:proofErr w:type="spellEnd"/>
      <w:r>
        <w:t xml:space="preserve"> которых предоставляются субсидии.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4.6.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области,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субсидии.</w:t>
      </w:r>
    </w:p>
    <w:p w:rsidR="00516A5F" w:rsidRDefault="00516A5F">
      <w:pPr>
        <w:pStyle w:val="ConsPlusNormal"/>
        <w:spacing w:before="220"/>
        <w:ind w:firstLine="540"/>
        <w:jc w:val="both"/>
      </w:pPr>
      <w:bookmarkStart w:id="4" w:name="P79"/>
      <w:bookmarkEnd w:id="4"/>
      <w:r>
        <w:lastRenderedPageBreak/>
        <w:t>4.7. Муниципальное образование посредством использования информационной системы "Управление бюджетным процессом Ленинградской области" представляет Комитету платежный документ с одновременным представлением документов, подтверждающих потребность в осуществлении расходов.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Перечисление субсидии из областного бюджета Ленинградской области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7-го рабочего дня с даты поступления оформленного надлежащим образом платежного документа.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устанавливаются в соглашении.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 xml:space="preserve">4.8. Комитет в течение трех рабочих дней со дня поступления документов, указанных в </w:t>
      </w:r>
      <w:hyperlink w:anchor="P79">
        <w:r>
          <w:rPr>
            <w:color w:val="0000FF"/>
          </w:rPr>
          <w:t>пункте 4.7</w:t>
        </w:r>
      </w:hyperlink>
      <w:r>
        <w:t xml:space="preserve"> настоящего Порядка, проверяет полноту и корректность представленных муниципальным образованием документов. При отсутствии замечаний к полноте и корректности представленных документов Комитет принимает решение о перечислении субсидии не позднее 7-го рабочего дня с даты поступления документов, подтверждающих потребность муниципального образования в осуществлении расходов.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4.9. Субсидия, не использованная в текущем финансовом году, подлежит возврату в областной бюджет Ленинградской области в порядке и сроки, установленные правовым актом Комитета финансов Ленинградской области.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4.10.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главными распорядителями бюджетных средств в соответствии с бюджетным законодательством Российской Федерации.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Контроль за соблюдением целей, порядка и условий предоставления субсидии,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516A5F" w:rsidRDefault="00516A5F">
      <w:pPr>
        <w:pStyle w:val="ConsPlusNormal"/>
        <w:spacing w:before="220"/>
        <w:ind w:firstLine="540"/>
        <w:jc w:val="both"/>
      </w:pPr>
      <w:r>
        <w:t>4.11. Средства субсидии, использованные муниципальным образованием не по целевому назначению, подлежат возврату в областной бюджет Ленинградской области.</w:t>
      </w:r>
    </w:p>
    <w:p w:rsidR="005D6E6B" w:rsidRDefault="00516A5F" w:rsidP="00516A5F">
      <w:pPr>
        <w:pStyle w:val="ConsPlusNormal"/>
        <w:spacing w:before="220"/>
        <w:ind w:firstLine="540"/>
        <w:jc w:val="both"/>
      </w:pPr>
      <w:r>
        <w:t xml:space="preserve">4.12. При невыполнении муниципальным образованием условий соглашения, в том числе в случае </w:t>
      </w:r>
      <w:proofErr w:type="spellStart"/>
      <w:r>
        <w:t>недостижения</w:t>
      </w:r>
      <w:proofErr w:type="spellEnd"/>
      <w:r>
        <w:t xml:space="preserve"> значений результатов использования субсидии, к муниципальному образованию применяются меры финансовой ответственности по основаниям и в порядке, предусмотренном </w:t>
      </w:r>
      <w:hyperlink r:id="rId19">
        <w:r>
          <w:rPr>
            <w:color w:val="0000FF"/>
          </w:rPr>
          <w:t>разделом 5</w:t>
        </w:r>
      </w:hyperlink>
      <w:r>
        <w:t xml:space="preserve"> Правил.</w:t>
      </w:r>
      <w:bookmarkStart w:id="5" w:name="_GoBack"/>
      <w:bookmarkEnd w:id="5"/>
    </w:p>
    <w:sectPr w:rsidR="005D6E6B" w:rsidSect="005E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5F"/>
    <w:rsid w:val="00516A5F"/>
    <w:rsid w:val="005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CB50D-E787-442E-B800-A9324166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6A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883&amp;dst=100022" TargetMode="External"/><Relationship Id="rId13" Type="http://schemas.openxmlformats.org/officeDocument/2006/relationships/hyperlink" Target="https://login.consultant.ru/link/?req=doc&amp;base=SPB&amp;n=308870&amp;dst=100512" TargetMode="External"/><Relationship Id="rId18" Type="http://schemas.openxmlformats.org/officeDocument/2006/relationships/hyperlink" Target="https://login.consultant.ru/link/?req=doc&amp;base=SPB&amp;n=308870&amp;dst=10064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08870&amp;dst=100449" TargetMode="External"/><Relationship Id="rId12" Type="http://schemas.openxmlformats.org/officeDocument/2006/relationships/hyperlink" Target="https://login.consultant.ru/link/?req=doc&amp;base=SPB&amp;n=308870&amp;dst=100508" TargetMode="External"/><Relationship Id="rId17" Type="http://schemas.openxmlformats.org/officeDocument/2006/relationships/hyperlink" Target="https://login.consultant.ru/link/?req=doc&amp;base=SPB&amp;n=308870&amp;dst=1005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08870&amp;dst=10064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&amp;dst=370" TargetMode="External"/><Relationship Id="rId11" Type="http://schemas.openxmlformats.org/officeDocument/2006/relationships/hyperlink" Target="https://login.consultant.ru/link/?req=doc&amp;base=SPB&amp;n=308870&amp;dst=100465" TargetMode="External"/><Relationship Id="rId5" Type="http://schemas.openxmlformats.org/officeDocument/2006/relationships/hyperlink" Target="https://login.consultant.ru/link/?req=doc&amp;base=LAW&amp;n=501480&amp;dst=101361" TargetMode="External"/><Relationship Id="rId15" Type="http://schemas.openxmlformats.org/officeDocument/2006/relationships/hyperlink" Target="https://login.consultant.ru/link/?req=doc&amp;base=SPB&amp;n=311883&amp;dst=100071" TargetMode="External"/><Relationship Id="rId10" Type="http://schemas.openxmlformats.org/officeDocument/2006/relationships/hyperlink" Target="https://login.consultant.ru/link/?req=doc&amp;base=SPB&amp;n=311883&amp;dst=100200" TargetMode="External"/><Relationship Id="rId19" Type="http://schemas.openxmlformats.org/officeDocument/2006/relationships/hyperlink" Target="https://login.consultant.ru/link/?req=doc&amp;base=SPB&amp;n=308870&amp;dst=100547" TargetMode="External"/><Relationship Id="rId4" Type="http://schemas.openxmlformats.org/officeDocument/2006/relationships/hyperlink" Target="https://login.consultant.ru/link/?req=doc&amp;base=LAW&amp;n=501480&amp;dst=101249" TargetMode="External"/><Relationship Id="rId9" Type="http://schemas.openxmlformats.org/officeDocument/2006/relationships/hyperlink" Target="www.power.lenobl.ru" TargetMode="External"/><Relationship Id="rId14" Type="http://schemas.openxmlformats.org/officeDocument/2006/relationships/hyperlink" Target="https://login.consultant.ru/link/?req=doc&amp;base=SPB&amp;n=308870&amp;dst=100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 Антон Андреевич</dc:creator>
  <cp:keywords/>
  <dc:description/>
  <cp:lastModifiedBy>Потемкин Антон Андреевич</cp:lastModifiedBy>
  <cp:revision>1</cp:revision>
  <dcterms:created xsi:type="dcterms:W3CDTF">2025-11-26T07:41:00Z</dcterms:created>
  <dcterms:modified xsi:type="dcterms:W3CDTF">2025-11-26T07:45:00Z</dcterms:modified>
</cp:coreProperties>
</file>