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программе...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И РАСПРЕДЕЛЕНИЯ СУБСИДИИ ИЗ ОБЛАСТНОГО</w:t>
      </w:r>
    </w:p>
    <w:p>
      <w:pPr>
        <w:pStyle w:val="2"/>
        <w:jc w:val="center"/>
      </w:pPr>
      <w:r>
        <w:rPr>
          <w:sz w:val="20"/>
        </w:rPr>
        <w:t xml:space="preserve">БЮДЖЕТА ЛЕНИНГРАДСКОЙ ОБЛАСТИ БЮДЖЕТАМ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ЛЕНИНГРАДСКОЙ ОБЛАСТИ НА РЕАЛИЗАЦИЮ МЕРОПРИЯТИЙ</w:t>
      </w:r>
    </w:p>
    <w:p>
      <w:pPr>
        <w:pStyle w:val="2"/>
        <w:jc w:val="center"/>
      </w:pPr>
      <w:r>
        <w:rPr>
          <w:sz w:val="20"/>
        </w:rPr>
        <w:t xml:space="preserve">ПО ОБЕСПЕЧЕНИЮ УСТОЙЧИВОГО ФУНКЦИОНИРОВАНИЯ ОБЪЕКТОВ</w:t>
      </w:r>
    </w:p>
    <w:p>
      <w:pPr>
        <w:pStyle w:val="2"/>
        <w:jc w:val="center"/>
      </w:pPr>
      <w:r>
        <w:rPr>
          <w:sz w:val="20"/>
        </w:rPr>
        <w:t xml:space="preserve">ТЕПЛОСНАБЖЕНИЯ НА ТЕРРИТОРИИ ЛЕНИНГРАДСКОЙ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Ленинградской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25.04.2024 </w:t>
            </w:r>
            <w:hyperlink w:history="0" r:id="rId3" w:tooltip="Постановление Правительства Ленинградской области от 25.04.2024 N 276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      <w:r>
                <w:rPr>
                  <w:sz w:val="20"/>
                  <w:color w:val="0000ff"/>
                </w:rPr>
                <w:t xml:space="preserve">N 276</w:t>
              </w:r>
            </w:hyperlink>
            <w:r>
              <w:rPr>
                <w:sz w:val="20"/>
                <w:color w:val="392c69"/>
              </w:rPr>
              <w:t xml:space="preserve">, от 09.07.2024 </w:t>
            </w:r>
            <w:hyperlink w:history="0" r:id="rId4" w:tooltip="Постановление Правительства Ленинградской области от 09.07.2024 N 474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 от 02.11.2024 </w:t>
            </w:r>
            <w:hyperlink w:history="0" r:id="rId5" w:tooltip="Постановление Правительства Ленинградской области от 02.11.2024 N 765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      <w:r>
                <w:rPr>
                  <w:sz w:val="20"/>
                  <w:color w:val="0000ff"/>
                </w:rPr>
                <w:t xml:space="preserve">N 765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14.04.2025 </w:t>
            </w:r>
            <w:hyperlink w:history="0" r:id="rId6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      <w:r>
                <w:rPr>
                  <w:sz w:val="20"/>
                  <w:color w:val="0000ff"/>
                </w:rPr>
                <w:t xml:space="preserve">N 331</w:t>
              </w:r>
            </w:hyperlink>
            <w:r>
              <w:rPr>
                <w:sz w:val="20"/>
                <w:color w:val="392c69"/>
              </w:rPr>
              <w:t xml:space="preserve">, от 26.08.2025 </w:t>
            </w:r>
            <w:hyperlink w:history="0" r:id="rId7" w:tooltip="Постановление Правительства Ленинградской области от 26.08.2025 N 732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      <w:r>
                <w:rPr>
                  <w:sz w:val="20"/>
                  <w:color w:val="0000ff"/>
                </w:rPr>
                <w:t xml:space="preserve">N 732</w:t>
              </w:r>
            </w:hyperlink>
            <w:r>
              <w:rPr>
                <w:sz w:val="20"/>
                <w:color w:val="392c69"/>
              </w:rPr>
              <w:t xml:space="preserve">, от 17.11.2025 </w:t>
            </w:r>
            <w:hyperlink w:history="0" r:id="rId8" w:tooltip="Постановление Правительства Ленинградской области от 17.11.2025 N 952 &quot;О внесении изменения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      <w:r>
                <w:rPr>
                  <w:sz w:val="20"/>
                  <w:color w:val="0000ff"/>
                </w:rPr>
                <w:t xml:space="preserve">N 952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устанавливает цели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 на реализацию мероприятий по обеспечению устойчивого функционирования объектов теплоснабжения на территории Ленинградской области (далее - субсидия), а также критерии отбора и критерии оценки заявок муниципальных образований для предоставления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комитету по топливно-энергетическому комплексу Ленинградской области (далее - комитет).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Субсидия предоставляется на софинансирование расходных обязательств бюджетов муниципальных образований, возникающих при выполнении полномочий органов местного самоуправления по организации в границах поселения, муниципального, городского округа тепло- и горячего водоснабжения в соответствии с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пунктом 4 части 1 статьи 14</w:t>
        </w:r>
      </w:hyperlink>
      <w:r>
        <w:rPr>
          <w:sz w:val="20"/>
        </w:rPr>
        <w:t xml:space="preserve"> и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пунктом 4 части 1 статьи 16</w:t>
        </w:r>
      </w:hyperlink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 (далее - отбор, заявка).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Заявки, представленные муниципальными образованиями для осуществления отбора, участникам отбора не возвращаются.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Положение о конкурсной комиссии и состав конкурсной комиссии утверждаются правовым актом комитета.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 и условия предоставления субсидии</w:t>
      </w:r>
    </w:p>
    <w:p>
      <w:pPr>
        <w:pStyle w:val="0"/>
      </w:pPr>
      <w:r>
        <w:rPr>
          <w:sz w:val="20"/>
        </w:rPr>
      </w:r>
    </w:p>
    <w:bookmarkStart w:id="26" w:name="P26"/>
    <w:bookmarkEnd w:id="26"/>
    <w:p>
      <w:pPr>
        <w:pStyle w:val="0"/>
        <w:ind w:firstLine="540"/>
        <w:jc w:val="both"/>
      </w:pPr>
      <w:r>
        <w:rPr>
          <w:sz w:val="20"/>
        </w:rPr>
        <w:t xml:space="preserve">2.1. Субсидия предоставляется в целях обеспечения устойчивого теплоснабжения населения и организаций Ленинградской области и оказания коммунальных услуг отопления и горячего водоснабжения надлежащего качества на выполнение следующих мероприятий (далее - мероприятия):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капитальному ремонту, замене оборудования котельных, тепловых пунктов (далее - ТП) и тепловых насосных станций (далее - ТНС);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капитальному ремонту зданий и сооружений котельных;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капитальному ремонту, замене участков тепловых сетей.</w:t>
      </w:r>
    </w:p>
    <w:p>
      <w:pPr>
        <w:pStyle w:val="0"/>
        <w:jc w:val="both"/>
      </w:pPr>
      <w:r>
        <w:rPr>
          <w:sz w:val="20"/>
        </w:rPr>
        <w:t xml:space="preserve">(п. 2.1 в ред. </w:t>
      </w:r>
      <w:hyperlink w:history="0" r:id="rId12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Результатом использования субсидий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отремонтированного (замененного) оборудования котельных, ТП, ТНС;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отремонтированных зданий и сооружений котельных;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протяженность отремонтированных (замененных) участков тепловых сетей.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Значения результатов использования субсидии и детализированные требования к достижению значений результатов использования субсидии (при необходимости) устанавливаются в соглашении о предоставлении субсидии (далее - соглашение).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hyperlink w:history="0" r:id="rId14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2.3</w:t>
        </w:r>
      </w:hyperlink>
      <w:r>
        <w:rPr>
          <w:sz w:val="20"/>
        </w:rPr>
        <w:t xml:space="preserve">. Условия предоставления субсидии устанавливаются в соответствии с </w:t>
      </w:r>
      <w:hyperlink w:history="0" r:id="rId15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пунктом 2.7</w:t>
        </w:r>
      </w:hyperlink>
      <w:r>
        <w:rPr>
          <w:sz w:val="20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2.4</w:t>
        </w:r>
      </w:hyperlink>
      <w:r>
        <w:rPr>
          <w:sz w:val="20"/>
        </w:rPr>
        <w:t xml:space="preserve">. Субсидия на софинансирование мероприятий, связанных с выполнением работ по новому строительству и реконструкции объектов теплоснабжения, в рамках настоящего Порядка не предоставляется.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Критерии допуска к отбору</w:t>
      </w:r>
    </w:p>
    <w:p>
      <w:pPr>
        <w:pStyle w:val="0"/>
      </w:pPr>
      <w:r>
        <w:rPr>
          <w:sz w:val="20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0"/>
        </w:rPr>
        <w:t xml:space="preserve">3.1. Критериями допуска заявок муниципальных образований к отбору и оценке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муниципальной программы, предусматривающей мероприятия, в целях софинансирования которых предусматривается субсидия, соответствующие целям государственной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муниципальной собственности ТП, ТНС, участков тепловых сетей, оборудования, зданий и сооружений котельных, в отношении которых планируется выполнение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размещение в автоматизированной информационной системе "Реформа ЖКХ" информации об объекте теплоэнергетики, в отношении которого планируется выполнение работ, или объекта теплоэнергетики, в отношении которого заявленный объект является его составной частью (имеет привязку), с присвоением соответствующего идентификатора.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отбора заявок и распределения субсидии</w:t>
      </w:r>
    </w:p>
    <w:p>
      <w:pPr>
        <w:pStyle w:val="0"/>
      </w:pPr>
      <w:r>
        <w:rPr>
          <w:sz w:val="20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0"/>
        </w:rPr>
        <w:t xml:space="preserve">4.1. Информация (объявление) о сроках приема заявок размещается в информационно-телекоммуникационной сети "Интернет" (далее - сеть "Интернет") на официальном сайте комитета.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участия в отборе заявок на предоставление субсидии органы местного самоуправления поселений Ленинградской области представляют в администрацию соответствующего муниципального района Ленинградской области (далее - муниципальный район) заявку с приложением комплекта документов, установленного </w:t>
      </w:r>
      <w:hyperlink w:history="0" w:anchor="P54" w:tooltip="4.3. Заявки подаются на имя председателя комитета с приложением комплекта документов по каждому объекту, включающего:">
        <w:r>
          <w:rPr>
            <w:sz w:val="20"/>
            <w:color w:val="0000ff"/>
          </w:rPr>
          <w:t xml:space="preserve">пунктом 4.3</w:t>
        </w:r>
      </w:hyperlink>
      <w:r>
        <w:rPr>
          <w:sz w:val="20"/>
        </w:rPr>
        <w:t xml:space="preserve"> настоящего Порядка, для рассмотрения возможности софинансирования заявляемых мероприятий за счет средств бюджета муниципального района и формирования сводного по муниципальному району перечня объектов. Заявка подписывается главой администрации муниципального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Администрация муниципального, городского округа представляет заявку и документы, указанные в </w:t>
      </w:r>
      <w:hyperlink w:history="0" w:anchor="P54" w:tooltip="4.3. Заявки подаются на имя председателя комитета с приложением комплекта документов по каждому объекту, включающего:">
        <w:r>
          <w:rPr>
            <w:sz w:val="20"/>
            <w:color w:val="0000ff"/>
          </w:rPr>
          <w:t xml:space="preserve">пункте 4.3</w:t>
        </w:r>
      </w:hyperlink>
      <w:r>
        <w:rPr>
          <w:sz w:val="20"/>
        </w:rPr>
        <w:t xml:space="preserve"> настоящего Порядка, в комитет в сроки, установленные </w:t>
      </w:r>
      <w:hyperlink w:history="0" w:anchor="P53" w:tooltip="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чих дней со дня начала приема заявок, указанного в объявлении, представляет в комитет соответствующее обращение с приложением пакета документов для участия в отборе муниципальных образований для предоставления субсидий. Сводная по муниципальному рай...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рабочих дней со дня начала приема заявок, указанного в объявлении, представляет в комитет соответствующее обращение с приложением пакета документов для участия в отборе муниципальных образований для предоставления субсидий. Сводная по муниципальному району заявка подписывается главой администрации муниципального района.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Заявки подаются на имя председателя комитета с приложением комплекта документов по каждому объекту, включающего: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заполненный опросный лист на заявленный объект (форма устанавливается правовым актом комитета);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копию муниципальной программы, предусматривающей выполнение мероприятий, в целях софинансирования которых предоставляется субсидия;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копию нормативного правового акта органа местного самоуправления об утверждении муниципальной программы, соответствующей требованиям государственной программы Ленинградской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утратил силу с 14 апреля 2025 года. - </w:t>
      </w:r>
      <w:hyperlink w:history="0" r:id="rId19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14.04.2025 N 331;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выписку из Единого государственного реестра недвижимости, подтверждающую право собственности муниципального образования на объект теплоснабжения;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утратил силу с 14 апреля 2025 года. - </w:t>
      </w:r>
      <w:hyperlink w:history="0" r:id="rId21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14.04.2025 N 331;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акт технического состояния заявленного объекта (форма устанавливается правовым актом комитета);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8 - 10) утратили силу с 14 апреля 2025 года. - </w:t>
      </w:r>
      <w:hyperlink w:history="0" r:id="rId23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14.04.2025 N 331;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аварийный акт (акты) на заявленный объект (объекты);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12 - 13) утратили силу с 14 апреля 2025 года. - </w:t>
      </w:r>
      <w:hyperlink w:history="0" r:id="rId24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14.04.2025 N 331;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копию документа, подтверждающего передачу прав владения и(или) пользования заявленными объектами теплоснабжения, находящимися в муниципальной собственности (право хозяйственного ведения, оперативного управления, аренды и иные законные права владения и(или) пользования, предусмотренные законодательством Российской Федерации). В случае если обязанность производить заявленные мероприятия предусмотрена ответственностью лица, которому передано право владения и(или) пользования заявленными объектами теплоснабжения, находящимися в муниципальной собственности, дополнительно представляется справка муниципального образования (в свободной форме) об отсутствии учета затрат по заявленным мероприятиям в подлежащих регулированию ценах (тарифах) на товары, услуги в сфере теплоснабжения, установленных для теплоснабжающей и(или) теплосетевой организации, а также в составе иных источников финансирования;</w:t>
      </w:r>
    </w:p>
    <w:p>
      <w:pPr>
        <w:pStyle w:val="0"/>
        <w:jc w:val="both"/>
      </w:pPr>
      <w:r>
        <w:rPr>
          <w:sz w:val="20"/>
        </w:rPr>
        <w:t xml:space="preserve">(пп. 14 в ред. </w:t>
      </w:r>
      <w:hyperlink w:history="0" r:id="rId25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схему участка ремонтируемого (заявленного) линейного объекта теплоснабжения с привязкой к существующей системе теплоснабжения и планировке территории, а также с указанием диаметра ремонтируемого участка трубопровода и его протяженности;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утратил силу с 14 апреля 2025 года. - </w:t>
      </w:r>
      <w:hyperlink w:history="0" r:id="rId26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Ленинградской области от 14.04.2025 N 331;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письмо администрации муниципального образования с указанием наименования объекта теплоэнергетики и идентификатора, присвоенного при размещении в автоматизированной информационной системе "Реформа ЖКХ" информации об объекте теплоэнергетики, в отношении которого планируется реализация мероприятия, и(или) письмо администрации муниципального образования с указанием наименования объекта теплоэнергетики, являющегося составной частью (имеющего привязку) к объекту теплоэнергетики, имеющему идентификатор, присвоенный при размещении в автоматизированной информационной системе "Реформа ЖКХ" информации об объекте теплоэнергетики, и идентификатора;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предписания (замечания) надзорных органов по заявленному объекту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положительное заключение государственной экспертизы о проверке достоверности определения сметной стоимости работ и сметный расчет на проведение заявленных мероприятий при подаче заявки на получение субсидии в очередном финансовом году и в случае подачи заявки на дополнительный конкурсный отбор, проводимый в текущем финансовом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реализация мероприятия запланирована в первом и втором году планового периода, муниципальное образование предоставляет гарантийное письмо об обязательстве администрации муниципального образования представить заключение государственной экспертизы с последующим представлением положительного заключения государственной экспертизы о проверке достоверности определения сметной стоимости работ в срок до 1 августа года, предшествующего году реализации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Непредставление администрацией муниципального образования в срок, установленный в абзаце втором настоящего подпункта, положительного заключения является основанием для расторжения соглашения и внесения соответствующих изменений в нормативный правовой акт Правительства Ленинградской области, утверждающий распределение субсидии;</w:t>
      </w:r>
    </w:p>
    <w:p>
      <w:pPr>
        <w:pStyle w:val="0"/>
        <w:jc w:val="both"/>
      </w:pPr>
      <w:r>
        <w:rPr>
          <w:sz w:val="20"/>
        </w:rPr>
        <w:t xml:space="preserve">(пп. 19 в ред. </w:t>
      </w:r>
      <w:hyperlink w:history="0" r:id="rId27" w:tooltip="Постановление Правительства Ленинградской области от 17.11.2025 N 952 &quot;О внесении изменения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17.11.2025 N 952)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принципиальную схему котельной с указанием заявленного оборудования, в отношении которого планируется выполнение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Ответственность за достоверность представленных документов несут администрации поселений, муниципального, городского округа соответственно.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Рассмотрение заявок осуществляется конкурсной комиссией в течение 10 рабочих дней со дня окончания срока приема заявок, указанного в объявлении о проведении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Заявки, соответствующие критериям допуска к отбору, оцениваются по балльной системе в соответствии с </w:t>
      </w:r>
      <w:hyperlink w:history="0" w:anchor="P141" w:tooltip="КРИТЕРИИ">
        <w:r>
          <w:rPr>
            <w:sz w:val="20"/>
            <w:color w:val="0000ff"/>
          </w:rPr>
          <w:t xml:space="preserve">приложением</w:t>
        </w:r>
      </w:hyperlink>
      <w:r>
        <w:rPr>
          <w:sz w:val="20"/>
        </w:rPr>
        <w:t xml:space="preserve"> к настоящему Порядку. Победителями признаются муниципальные образования, чьи заявки набрали наибольшее количество баллов.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По итогам отбора заявок конкурсная комиссия в срок, не превышающий пяти рабочих дней со дня окончания срока рассмотрения заявок, указанного в </w:t>
      </w:r>
      <w:hyperlink w:history="0" w:anchor="P81" w:tooltip="4.5. Рассмотрение заявок осуществляется конкурсной комиссией в течение 10 рабочих дней со дня окончания срока приема заявок, указанного в объявлении о проведении отбора.">
        <w:r>
          <w:rPr>
            <w:sz w:val="20"/>
            <w:color w:val="0000ff"/>
          </w:rPr>
          <w:t xml:space="preserve">пункте 4.5</w:t>
        </w:r>
      </w:hyperlink>
      <w:r>
        <w:rPr>
          <w:sz w:val="20"/>
        </w:rPr>
        <w:t xml:space="preserve"> настоящего Порядка, оформляет протокол. Решение в отношении муниципальных образований о включении в распределение субсидии с указанием мероприятий и объемов финансирования за счет средств областного бюджета Ленинградской области утверждается правовым актом Комитета.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Комитет в течение семи рабочих дней с даты оформления протокола конкурсной комиссии подготавливает предложения по распределению субсидии бюджетам муниципальных образований.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Распределение субсидии бюджетам муниципальных образований утверждается постановлением Правительства Ленинградской области в соответствии с </w:t>
      </w:r>
      <w:hyperlink w:history="0" r:id="rId29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Правил.</w:t>
      </w:r>
    </w:p>
    <w:p>
      <w:pPr>
        <w:pStyle w:val="0"/>
        <w:jc w:val="both"/>
      </w:pPr>
      <w:r>
        <w:rPr>
          <w:sz w:val="20"/>
        </w:rPr>
        <w:t xml:space="preserve">(п. 4.7 в ред. </w:t>
      </w:r>
      <w:hyperlink w:history="0" r:id="rId30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4.8. Основаниями для отклонения заявок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нарушение срока подачи заявок, установленного </w:t>
      </w:r>
      <w:hyperlink w:history="0" w:anchor="P53" w:tooltip="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чих дней со дня начала приема заявок, указанного в объявлении, представляет в комитет соответствующее обращение с приложением пакета документов для участия в отборе муниципальных образований для предоставления субсидий. Сводная по муниципальному рай...">
        <w:r>
          <w:rPr>
            <w:sz w:val="20"/>
            <w:color w:val="0000ff"/>
          </w:rPr>
          <w:t xml:space="preserve">пунктом 4.2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представление муниципальным образованием документов, не соответствующих требованиям </w:t>
      </w:r>
      <w:hyperlink w:history="0" w:anchor="P54" w:tooltip="4.3. Заявки подаются на имя председателя комитета с приложением комплекта документов по каждому объекту, включающего:">
        <w:r>
          <w:rPr>
            <w:sz w:val="20"/>
            <w:color w:val="0000ff"/>
          </w:rPr>
          <w:t xml:space="preserve">пункта 4.3</w:t>
        </w:r>
      </w:hyperlink>
      <w:r>
        <w:rPr>
          <w:sz w:val="20"/>
        </w:rPr>
        <w:t xml:space="preserve"> настоящего Порядка, и(или) представление документов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несоответствие заявок муниципальных образований критериям, установленным </w:t>
      </w:r>
      <w:hyperlink w:history="0" w:anchor="P42" w:tooltip="3.1. Критериями допуска заявок муниципальных образований к отбору и оценке являются: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представление муниципальными образованиями заявок на реализацию мероприятий, не предусмотренных </w:t>
      </w:r>
      <w:hyperlink w:history="0" w:anchor="P26" w:tooltip="2.1. Субсидия предоставляется в целях обеспечения устойчивого теплоснабжения населения и организаций Ленинградской области и оказания коммунальных услуг отопления и горячего водоснабжения надлежащего качества на выполнение следующих мероприятий (далее - мероприятия):">
        <w:r>
          <w:rPr>
            <w:sz w:val="20"/>
            <w:color w:val="0000ff"/>
          </w:rPr>
          <w:t xml:space="preserve">пунктом 2.1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31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14.04.2025 N 331)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4.9. При наличии экономии по ранее распределенным средствам и(или) в случае увеличения бюджетных ассигнований на мероприятия в распределение субсидии могут включаться дополнительные заявки, ранее прошедшие конкурсный отбор.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Новые заявки включаются в распределение субсидии на основании дополнительного конкурсного отбора, проводимого в соответствии с </w:t>
      </w:r>
      <w:hyperlink w:history="0" w:anchor="P53" w:tooltip="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чих дней со дня начала приема заявок, указанного в объявлении, представляет в комитет соответствующее обращение с приложением пакета документов для участия в отборе муниципальных образований для предоставления субсидий. Сводная по муниципальному рай...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w:anchor="P87" w:tooltip="4.8. Основаниями для отклонения заявок являются: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настоящего Порядка, о сроках проведения которого объявляется дополнительно на официальном сайте комитета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Комитет на основании полученных заявок муниципальных образований осуществляет корректировку распределения субсидии и подготавливает предложения по внесению изменений в постановление Правительства Ленинградской области о распределении субсидии бюджетам муниципальных образований.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повышения уровня подготовки муниципальных образований к отопительному периоду комитет проводит дополнительный конкурсный отбор заявок муниципальных образований, претендующих на предоставление субсидии, который осуществляется в порядке и сроки, установленные </w:t>
      </w:r>
      <w:hyperlink w:history="0" w:anchor="P49" w:tooltip="4.1. Информация (объявление) о сроках приема заявок размещается в информационно-телекоммуникационной сети &quot;Интернет&quot; (далее - сеть &quot;Интернет&quot;) на официальном сайте комитета.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w:anchor="P87" w:tooltip="4.8. Основаниями для отклонения заявок являются: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2" w:tooltip="Постановление Правительства Ленинградской области от 26.08.2025 N 732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26.08.2025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проведения дополнительного конкурсного отбора комитетом направляются предложения по увеличению бюджетных ассигнований на основании итогов дополнительного конкурсного отбора.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3" w:tooltip="Постановление Правительства Ленинградской области от 26.08.2025 N 732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26.08.2025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увеличении бюджетных ассигнований распределение субсидии бюджетам муниципальных образований утверждается постановлением Правительства Ленинградской области путем внесения изменений в утвержденное распределение субсидий.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4" w:tooltip="Постановление Правительства Ленинградской области от 26.08.2025 N 732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26.08.2025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дополнительного конкурсного отбора при отсутствии бюджетных ассигнований не влечет за собой возникновение обязательств по распределению субсидий.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5" w:tooltip="Постановление Правительства Ленинградской области от 26.08.2025 N 732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Ленинградской области от 26.08.2025 N 732)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4.10. Основанием для внесения изменений в утвержденное распределение субсидии может являться: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расторжение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распределение нераспределенного объема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изменение общего объема бюджетных ассигнований областного бюджета, предусмотренного на предоставление субсидии (осуществляется согласно </w:t>
      </w:r>
      <w:hyperlink w:history="0" r:id="rId36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пункту 3.6</w:t>
        </w:r>
      </w:hyperlink>
      <w:r>
        <w:rPr>
          <w:sz w:val="20"/>
        </w:rPr>
        <w:t xml:space="preserve"> Правил).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4.11. Распределение субсидии исходя из заявок муниципальных образований осуществляется по формуле: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ЗС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x УС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,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объем субсидии бюджету i-го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плановый общий объем расходов на исполнение софинансируемых обязательств в соответствии с заявкой (заявками) i-го муниципального образования, отобранной (отобранными) для предоставления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предельный уровень софинансирования для i-го муниципального образования.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4.12. Предельный уровень софинансирования Ленинградской областью (в процентах) объема расходного обязательства муниципального образования устанавливается в соответствии с </w:t>
      </w:r>
      <w:hyperlink w:history="0" r:id="rId37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пунктом 6.4</w:t>
        </w:r>
      </w:hyperlink>
      <w:r>
        <w:rPr>
          <w:sz w:val="20"/>
        </w:rPr>
        <w:t xml:space="preserve"> Правил.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Порядок заключения соглашений и расходования средств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Соглашение заключается по типовой форме, установленной приказом Комитета финансов Ленинградской области, в соответствии с требованиями </w:t>
      </w:r>
      <w:hyperlink w:history="0" r:id="rId3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пунктов 4.2</w:t>
        </w:r>
      </w:hyperlink>
      <w:r>
        <w:rPr>
          <w:sz w:val="20"/>
        </w:rPr>
        <w:t xml:space="preserve"> и </w:t>
      </w:r>
      <w:hyperlink w:history="0" r:id="rId39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субсидии, а также при изменении утвержденного для муниципального образования объема субсидии соглашение (дополнительное соглашение) заключается не позднее 30 календарных дней со дня вступления в силу нормативного правового акта Ленинградской области, утверждающего изменения в распределение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потребности в оплате денежных обязательств по расходам муниципального образования, источником финансового обеспечения которых является субсидия.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Муниципальное образование представляет комитету документы, подтверждающие потребность в осуществлении расходов.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соглашением.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Комитет в течение пяти рабочих дней проверяет полноту и корректность документов, представленных муниципальным образованием в электронном виде в АЦК-финансы.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Комитет до 1 февраля года, следующего за отчетным, представляет в Комитет финансов Ленинградской области сводный отчет о целевом использовании субсидии в разрезе муниципальных образований, а также отчетность о достижении значений результатов использования субсидии, установленных в соглашении, и фактически достигнутых результатов по итогам финансового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5.6. Ответственность за целевое использование средств, своевременность и достоверность представляемых документов несут администрации муниципальных образований.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5.7. Субсидия, не использованная в текущем финансовом году, подлежит возврату в областной бюджет Ленинградской области в порядке и сроки, установленные правовым актом Комитета финансов Ленинградской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5.9. При невыполнении муниципальным образованием условий соглашения, в том числе в случае недостижения значений результатов использования субсидии, к муниципальному образованию применяются меры финансовой ответственности по основаниям и в порядке, предусмотренном </w:t>
      </w:r>
      <w:hyperlink w:history="0" r:id="rId40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5.10. Контроль за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Порядку...</w:t>
      </w:r>
    </w:p>
    <w:p>
      <w:pPr>
        <w:pStyle w:val="0"/>
      </w:pPr>
      <w:r>
        <w:rPr>
          <w:sz w:val="20"/>
        </w:rPr>
      </w:r>
    </w:p>
    <w:bookmarkStart w:id="141" w:name="P141"/>
    <w:bookmarkEnd w:id="141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ОЦЕНКИ ЗАЯВОК МУНИЦИПАЛЬНЫХ ОБРАЗОВАНИЙ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5386"/>
        <w:gridCol w:w="1644"/>
        <w:gridCol w:w="1417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Оценочные критерии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Баллы (О)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Удельный вес (В)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значимость мероприятия</w:t>
            </w:r>
          </w:p>
          <w:p>
            <w:pPr>
              <w:pStyle w:val="0"/>
            </w:pPr>
            <w:r>
              <w:rPr>
                <w:sz w:val="20"/>
              </w:rPr>
              <w:t xml:space="preserve">(</w:t>
            </w:r>
            <w:hyperlink w:history="0" w:anchor="P157" w:tooltip="1">
              <w:r>
                <w:rPr>
                  <w:sz w:val="20"/>
                  <w:color w:val="0000ff"/>
                </w:rPr>
                <w:t xml:space="preserve">п. 1</w:t>
              </w:r>
            </w:hyperlink>
            <w:r>
              <w:rPr>
                <w:sz w:val="20"/>
              </w:rPr>
              <w:t xml:space="preserve"> + </w:t>
            </w:r>
            <w:hyperlink w:history="0" w:anchor="P171" w:tooltip="2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 + </w:t>
            </w:r>
            <w:hyperlink w:history="0" w:anchor="P176" w:tooltip="3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):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bookmarkStart w:id="157" w:name="P157"/>
          <w:bookmarkEnd w:id="157"/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количество жителей, проживающих в зоне теплоснабжения, к которой относится заявляемый объект: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до 100 человек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 101 до 1000 человек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 1001 до 5000 человек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 5001 до 10000 человек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свыше 10000 человек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bookmarkStart w:id="171" w:name="P171"/>
          <w:bookmarkEnd w:id="171"/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учреждений здравоохранения, образования и иных социально значимых объектов, подпадающих под отключение от теплоснабжения в случае возникновения аварийной ситуации на заявляемом объекте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(для каждого объекта)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624" w:type="dxa"/>
            <w:vMerge w:val="restart"/>
          </w:tcPr>
          <w:bookmarkStart w:id="176" w:name="P176"/>
          <w:bookmarkEnd w:id="176"/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Отношение количества потребителей, чьи интересы затрагивает реализация мероприятия (X), к общей численности жителей, проживающих в зоне теплоснабжения (Y), к которой относится заявляемый объект: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 / Y x 100 проц. = (проц.)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до 20 проц.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 21 проц. до 50 проц.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51 проц. и более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значимость мероприятия</w:t>
            </w:r>
          </w:p>
          <w:p>
            <w:pPr>
              <w:pStyle w:val="0"/>
            </w:pPr>
            <w:r>
              <w:rPr>
                <w:sz w:val="20"/>
              </w:rPr>
              <w:t xml:space="preserve">(</w:t>
            </w:r>
            <w:hyperlink w:history="0" w:anchor="P191" w:tooltip="4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 + </w:t>
            </w:r>
            <w:hyperlink w:history="0" w:anchor="P201" w:tooltip="5">
              <w:r>
                <w:rPr>
                  <w:sz w:val="20"/>
                  <w:color w:val="0000ff"/>
                </w:rPr>
                <w:t xml:space="preserve">п. 5</w:t>
              </w:r>
            </w:hyperlink>
            <w:r>
              <w:rPr>
                <w:sz w:val="20"/>
              </w:rPr>
              <w:t xml:space="preserve"> + </w:t>
            </w:r>
            <w:hyperlink w:history="0" w:anchor="P215" w:tooltip="6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Merge w:val="restart"/>
          </w:tcPr>
          <w:bookmarkStart w:id="191" w:name="P191"/>
          <w:bookmarkEnd w:id="191"/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Износ объектов коммунальной инфраструктуры по данным бухгалтерского учета: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 75 проц. до 85 проц.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от 86 проц. до 95 проц. включительно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свыше 96 проц.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tcW w:w="624" w:type="dxa"/>
            <w:vMerge w:val="restart"/>
          </w:tcPr>
          <w:bookmarkStart w:id="201" w:name="P201"/>
          <w:bookmarkEnd w:id="201"/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аварий, возникавших на заявляемом объекте за последние три года и приводивших к остановке &lt;*&gt; системы (части системы) теплоснабжения: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1 авария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2 аварии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3 аварии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4 аварии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5 аварий и более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bookmarkStart w:id="215" w:name="P215"/>
          <w:bookmarkEnd w:id="215"/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386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предписаний (замечаний) надзорных органов по заявленному объекту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Под остановкой системы (части системы) теплоснабжения понимается самопроизвольное или принудительное прекращение отпуска тепловой энергии от источника теплоснабжения либо циркуляции теплоносителя в тепловой сети, возникающее в результате аварийной ситуации на заявляемом объекте.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Методика для расчета: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ИО = О1 x В1 + О2 x В2 + О3 x В3 + О4 x В4 + О5 x В5 + О6 x В6,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ИО - итоговая оценка по объекту;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О1, О2, О3, О4, О5, О6 - балльная оценка по соответствующему критерию;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В1, В2, В3, В4, В5, В6 - вес соответствующего критерия.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SPB&amp;n=290895&amp;dst=100005" TargetMode = "External"/><Relationship Id="rId4" Type="http://schemas.openxmlformats.org/officeDocument/2006/relationships/hyperlink" Target="https://login.consultant.ru/link/?req=doc&amp;base=SPB&amp;n=294702&amp;dst=100005" TargetMode = "External"/><Relationship Id="rId5" Type="http://schemas.openxmlformats.org/officeDocument/2006/relationships/hyperlink" Target="https://login.consultant.ru/link/?req=doc&amp;base=SPB&amp;n=300647&amp;dst=100007" TargetMode = "External"/><Relationship Id="rId6" Type="http://schemas.openxmlformats.org/officeDocument/2006/relationships/hyperlink" Target="https://login.consultant.ru/link/?req=doc&amp;base=SPB&amp;n=309561&amp;dst=100014" TargetMode = "External"/><Relationship Id="rId7" Type="http://schemas.openxmlformats.org/officeDocument/2006/relationships/hyperlink" Target="https://login.consultant.ru/link/?req=doc&amp;base=SPB&amp;n=316272&amp;dst=100005" TargetMode = "External"/><Relationship Id="rId8" Type="http://schemas.openxmlformats.org/officeDocument/2006/relationships/hyperlink" Target="https://login.consultant.ru/link/?req=doc&amp;base=SPB&amp;n=320108&amp;dst=100005" TargetMode = "External"/><Relationship Id="rId9" Type="http://schemas.openxmlformats.org/officeDocument/2006/relationships/hyperlink" Target="https://login.consultant.ru/link/?req=doc&amp;base=LAW&amp;n=501480&amp;dst=101249" TargetMode = "External"/><Relationship Id="rId10" Type="http://schemas.openxmlformats.org/officeDocument/2006/relationships/hyperlink" Target="https://login.consultant.ru/link/?req=doc&amp;base=LAW&amp;n=501480&amp;dst=101361" TargetMode = "External"/><Relationship Id="rId11" Type="http://schemas.openxmlformats.org/officeDocument/2006/relationships/hyperlink" Target="https://login.consultant.ru/link/?req=doc&amp;base=SPB&amp;n=309561&amp;dst=100015" TargetMode = "External"/><Relationship Id="rId12" Type="http://schemas.openxmlformats.org/officeDocument/2006/relationships/hyperlink" Target="https://login.consultant.ru/link/?req=doc&amp;base=SPB&amp;n=309561&amp;dst=100016" TargetMode = "External"/><Relationship Id="rId13" Type="http://schemas.openxmlformats.org/officeDocument/2006/relationships/hyperlink" Target="https://login.consultant.ru/link/?req=doc&amp;base=SPB&amp;n=309561&amp;dst=100021" TargetMode = "External"/><Relationship Id="rId14" Type="http://schemas.openxmlformats.org/officeDocument/2006/relationships/hyperlink" Target="https://login.consultant.ru/link/?req=doc&amp;base=SPB&amp;n=309561&amp;dst=100023" TargetMode = "External"/><Relationship Id="rId15" Type="http://schemas.openxmlformats.org/officeDocument/2006/relationships/hyperlink" Target="https://login.consultant.ru/link/?req=doc&amp;base=SPB&amp;n=308870&amp;dst=100449" TargetMode = "External"/><Relationship Id="rId16" Type="http://schemas.openxmlformats.org/officeDocument/2006/relationships/hyperlink" Target="https://login.consultant.ru/link/?req=doc&amp;base=SPB&amp;n=309561&amp;dst=100023" TargetMode = "External"/><Relationship Id="rId17" Type="http://schemas.openxmlformats.org/officeDocument/2006/relationships/hyperlink" Target="https://login.consultant.ru/link/?req=doc&amp;base=SPB&amp;n=309561&amp;dst=100024" TargetMode = "External"/><Relationship Id="rId18" Type="http://schemas.openxmlformats.org/officeDocument/2006/relationships/hyperlink" Target="https://login.consultant.ru/link/?req=doc&amp;base=SPB&amp;n=309561&amp;dst=100026" TargetMode = "External"/><Relationship Id="rId19" Type="http://schemas.openxmlformats.org/officeDocument/2006/relationships/hyperlink" Target="https://login.consultant.ru/link/?req=doc&amp;base=SPB&amp;n=309561&amp;dst=100027" TargetMode = "External"/><Relationship Id="rId20" Type="http://schemas.openxmlformats.org/officeDocument/2006/relationships/hyperlink" Target="https://login.consultant.ru/link/?req=doc&amp;base=SPB&amp;n=309561&amp;dst=100028" TargetMode = "External"/><Relationship Id="rId21" Type="http://schemas.openxmlformats.org/officeDocument/2006/relationships/hyperlink" Target="https://login.consultant.ru/link/?req=doc&amp;base=SPB&amp;n=309561&amp;dst=100029" TargetMode = "External"/><Relationship Id="rId22" Type="http://schemas.openxmlformats.org/officeDocument/2006/relationships/hyperlink" Target="https://login.consultant.ru/link/?req=doc&amp;base=SPB&amp;n=309561&amp;dst=100030" TargetMode = "External"/><Relationship Id="rId23" Type="http://schemas.openxmlformats.org/officeDocument/2006/relationships/hyperlink" Target="https://login.consultant.ru/link/?req=doc&amp;base=SPB&amp;n=309561&amp;dst=100031" TargetMode = "External"/><Relationship Id="rId24" Type="http://schemas.openxmlformats.org/officeDocument/2006/relationships/hyperlink" Target="https://login.consultant.ru/link/?req=doc&amp;base=SPB&amp;n=309561&amp;dst=100031" TargetMode = "External"/><Relationship Id="rId25" Type="http://schemas.openxmlformats.org/officeDocument/2006/relationships/hyperlink" Target="https://login.consultant.ru/link/?req=doc&amp;base=SPB&amp;n=309561&amp;dst=100032" TargetMode = "External"/><Relationship Id="rId26" Type="http://schemas.openxmlformats.org/officeDocument/2006/relationships/hyperlink" Target="https://login.consultant.ru/link/?req=doc&amp;base=SPB&amp;n=309561&amp;dst=100034" TargetMode = "External"/><Relationship Id="rId27" Type="http://schemas.openxmlformats.org/officeDocument/2006/relationships/hyperlink" Target="https://login.consultant.ru/link/?req=doc&amp;base=SPB&amp;n=320108&amp;dst=100005" TargetMode = "External"/><Relationship Id="rId28" Type="http://schemas.openxmlformats.org/officeDocument/2006/relationships/hyperlink" Target="https://login.consultant.ru/link/?req=doc&amp;base=SPB&amp;n=309561&amp;dst=100037" TargetMode = "External"/><Relationship Id="rId29" Type="http://schemas.openxmlformats.org/officeDocument/2006/relationships/hyperlink" Target="https://login.consultant.ru/link/?req=doc&amp;base=SPB&amp;n=308870&amp;dst=100634" TargetMode = "External"/><Relationship Id="rId30" Type="http://schemas.openxmlformats.org/officeDocument/2006/relationships/hyperlink" Target="https://login.consultant.ru/link/?req=doc&amp;base=SPB&amp;n=309561&amp;dst=100038" TargetMode = "External"/><Relationship Id="rId31" Type="http://schemas.openxmlformats.org/officeDocument/2006/relationships/hyperlink" Target="https://login.consultant.ru/link/?req=doc&amp;base=SPB&amp;n=309561&amp;dst=100042" TargetMode = "External"/><Relationship Id="rId32" Type="http://schemas.openxmlformats.org/officeDocument/2006/relationships/hyperlink" Target="https://login.consultant.ru/link/?req=doc&amp;base=SPB&amp;n=316272&amp;dst=100005" TargetMode = "External"/><Relationship Id="rId33" Type="http://schemas.openxmlformats.org/officeDocument/2006/relationships/hyperlink" Target="https://login.consultant.ru/link/?req=doc&amp;base=SPB&amp;n=316272&amp;dst=100007" TargetMode = "External"/><Relationship Id="rId34" Type="http://schemas.openxmlformats.org/officeDocument/2006/relationships/hyperlink" Target="https://login.consultant.ru/link/?req=doc&amp;base=SPB&amp;n=316272&amp;dst=100008" TargetMode = "External"/><Relationship Id="rId35" Type="http://schemas.openxmlformats.org/officeDocument/2006/relationships/hyperlink" Target="https://login.consultant.ru/link/?req=doc&amp;base=SPB&amp;n=316272&amp;dst=100009" TargetMode = "External"/><Relationship Id="rId36" Type="http://schemas.openxmlformats.org/officeDocument/2006/relationships/hyperlink" Target="https://login.consultant.ru/link/?req=doc&amp;base=SPB&amp;n=308870&amp;dst=100635" TargetMode = "External"/><Relationship Id="rId37" Type="http://schemas.openxmlformats.org/officeDocument/2006/relationships/hyperlink" Target="https://login.consultant.ru/link/?req=doc&amp;base=SPB&amp;n=308870&amp;dst=100659" TargetMode = "External"/><Relationship Id="rId38" Type="http://schemas.openxmlformats.org/officeDocument/2006/relationships/hyperlink" Target="https://login.consultant.ru/link/?req=doc&amp;base=SPB&amp;n=308870&amp;dst=100523" TargetMode = "External"/><Relationship Id="rId39" Type="http://schemas.openxmlformats.org/officeDocument/2006/relationships/hyperlink" Target="https://login.consultant.ru/link/?req=doc&amp;base=SPB&amp;n=308870&amp;dst=100641" TargetMode = "External"/><Relationship Id="rId40" Type="http://schemas.openxmlformats.org/officeDocument/2006/relationships/hyperlink" Target="https://login.consultant.ru/link/?req=doc&amp;base=SPB&amp;n=308870&amp;dst=100547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14.11.2013 N 400
(ред. от 12.12.2025)
"Об утверждении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dc:title>
  <dcterms:created xsi:type="dcterms:W3CDTF">2026-01-27T10:43:34Z</dcterms:created>
</cp:coreProperties>
</file>